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D" w:rsidRDefault="002A4F78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МІНІСТЕРСТВО ОСВІТИ І НАУКИ УКРАЇНИ</w:t>
      </w:r>
    </w:p>
    <w:p w:rsidR="0003286D" w:rsidRDefault="002A4F78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3286D" w:rsidRDefault="002A4F78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Факультет геологічний</w:t>
      </w:r>
    </w:p>
    <w:p w:rsidR="0003286D" w:rsidRDefault="002A4F78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Кафедра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м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інералогії, петрографії і геохімії</w:t>
      </w: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3286D" w:rsidRDefault="002A4F78">
      <w:pPr>
        <w:pStyle w:val="normal"/>
        <w:widowControl w:val="0"/>
        <w:ind w:left="5245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Затверджено</w:t>
      </w:r>
    </w:p>
    <w:p w:rsidR="0003286D" w:rsidRDefault="002A4F78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 засіданні кафедри мінералогії, петрографії і геохімії </w:t>
      </w:r>
    </w:p>
    <w:p w:rsidR="0003286D" w:rsidRDefault="002A4F78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геологічного факультету</w:t>
      </w:r>
    </w:p>
    <w:p w:rsidR="0003286D" w:rsidRDefault="002A4F78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Львівського національного університету імені Івана Франка</w:t>
      </w:r>
    </w:p>
    <w:p w:rsidR="0003286D" w:rsidRDefault="002A4F78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" w:eastAsia="Times" w:hAnsi="Times" w:cs="Times"/>
          <w:sz w:val="24"/>
          <w:szCs w:val="24"/>
        </w:rPr>
        <w:t>протокол № ___ від ____________2020 р.)</w:t>
      </w:r>
    </w:p>
    <w:p w:rsidR="0003286D" w:rsidRDefault="0003286D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</w:p>
    <w:p w:rsidR="0003286D" w:rsidRDefault="002A4F78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В. о. завідувача кафедри мінералогії, петрографії і геохімії</w:t>
      </w:r>
    </w:p>
    <w:p w:rsidR="0003286D" w:rsidRDefault="002A4F78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" w:eastAsia="Times" w:hAnsi="Times" w:cs="Times"/>
          <w:sz w:val="24"/>
          <w:szCs w:val="24"/>
        </w:rPr>
        <w:t>доц. Скакун Л. З.</w:t>
      </w: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2A4F78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Силабус з навчальної дисципліни</w:t>
      </w:r>
    </w:p>
    <w:p w:rsidR="0003286D" w:rsidRDefault="0003286D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</w:p>
    <w:p w:rsidR="0003286D" w:rsidRDefault="002A4F78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" w:eastAsia="Times" w:hAnsi="Times" w:cs="Times"/>
          <w:b/>
          <w:sz w:val="36"/>
          <w:szCs w:val="36"/>
        </w:rPr>
        <w:t>Ос</w:t>
      </w:r>
      <w:r w:rsidR="009371B1">
        <w:rPr>
          <w:rFonts w:ascii="Times" w:eastAsia="Times" w:hAnsi="Times" w:cs="Times"/>
          <w:b/>
          <w:sz w:val="36"/>
          <w:szCs w:val="36"/>
          <w:lang w:val="uk-UA"/>
        </w:rPr>
        <w:t>но</w:t>
      </w:r>
      <w:r>
        <w:rPr>
          <w:rFonts w:ascii="Times" w:eastAsia="Times" w:hAnsi="Times" w:cs="Times"/>
          <w:b/>
          <w:sz w:val="36"/>
          <w:szCs w:val="36"/>
        </w:rPr>
        <w:t>в</w:t>
      </w:r>
      <w:r w:rsidR="009371B1">
        <w:rPr>
          <w:rFonts w:ascii="Times" w:eastAsia="Times" w:hAnsi="Times" w:cs="Times"/>
          <w:b/>
          <w:sz w:val="36"/>
          <w:szCs w:val="36"/>
          <w:lang w:val="uk-UA"/>
        </w:rPr>
        <w:t>и</w:t>
      </w:r>
      <w:r>
        <w:rPr>
          <w:rFonts w:ascii="Times" w:eastAsia="Times" w:hAnsi="Times" w:cs="Times"/>
          <w:b/>
          <w:sz w:val="36"/>
          <w:szCs w:val="36"/>
        </w:rPr>
        <w:t xml:space="preserve"> </w:t>
      </w:r>
      <w:r w:rsidR="009371B1">
        <w:rPr>
          <w:rFonts w:ascii="Times" w:eastAsia="Times" w:hAnsi="Times" w:cs="Times"/>
          <w:b/>
          <w:sz w:val="36"/>
          <w:szCs w:val="36"/>
          <w:lang w:val="uk-UA"/>
        </w:rPr>
        <w:t>петрографі</w:t>
      </w:r>
      <w:r>
        <w:rPr>
          <w:rFonts w:ascii="Times" w:eastAsia="Times" w:hAnsi="Times" w:cs="Times"/>
          <w:b/>
          <w:sz w:val="36"/>
          <w:szCs w:val="36"/>
        </w:rPr>
        <w:t>ї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03286D" w:rsidRDefault="0003286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86D" w:rsidRDefault="002A4F78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що викладається в межах першого (бакалаврського)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 xml:space="preserve">освітньо-наукового </w:t>
      </w:r>
      <w:proofErr w:type="gramStart"/>
      <w:r>
        <w:rPr>
          <w:rFonts w:ascii="Times" w:eastAsia="Times" w:hAnsi="Times" w:cs="Times"/>
          <w:b/>
          <w:sz w:val="28"/>
          <w:szCs w:val="28"/>
        </w:rPr>
        <w:t>р</w:t>
      </w:r>
      <w:proofErr w:type="gramEnd"/>
      <w:r>
        <w:rPr>
          <w:rFonts w:ascii="Times" w:eastAsia="Times" w:hAnsi="Times" w:cs="Times"/>
          <w:b/>
          <w:sz w:val="28"/>
          <w:szCs w:val="28"/>
        </w:rPr>
        <w:t>івня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 xml:space="preserve">вищої освіти для здобувачів </w:t>
      </w:r>
    </w:p>
    <w:p w:rsidR="0003286D" w:rsidRDefault="002A4F78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зі </w:t>
      </w:r>
      <w:proofErr w:type="gramStart"/>
      <w:r>
        <w:rPr>
          <w:rFonts w:ascii="Times" w:eastAsia="Times" w:hAnsi="Times" w:cs="Times"/>
          <w:b/>
          <w:sz w:val="28"/>
          <w:szCs w:val="28"/>
        </w:rPr>
        <w:t>спец</w:t>
      </w:r>
      <w:proofErr w:type="gramEnd"/>
      <w:r>
        <w:rPr>
          <w:rFonts w:ascii="Times" w:eastAsia="Times" w:hAnsi="Times" w:cs="Times"/>
          <w:b/>
          <w:sz w:val="28"/>
          <w:szCs w:val="28"/>
        </w:rPr>
        <w:t>іальності 103 Науки про Землю</w:t>
      </w:r>
    </w:p>
    <w:p w:rsidR="0003286D" w:rsidRDefault="002A4F78">
      <w:pPr>
        <w:pStyle w:val="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286D" w:rsidRDefault="0003286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86D" w:rsidRDefault="0003286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86D" w:rsidRDefault="0003286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86D" w:rsidRDefault="0003286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86D" w:rsidRDefault="0003286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86D" w:rsidRDefault="002A4F78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" w:eastAsia="Times" w:hAnsi="Times" w:cs="Times"/>
          <w:b/>
          <w:sz w:val="24"/>
          <w:szCs w:val="24"/>
        </w:rPr>
        <w:t>Львів 2020 р.</w:t>
      </w:r>
    </w:p>
    <w:p w:rsidR="0003286D" w:rsidRDefault="0003286D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03286D" w:rsidRPr="00916F19" w:rsidRDefault="0003286D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916F19" w:rsidRDefault="00916F19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en-GB"/>
        </w:rPr>
      </w:pPr>
    </w:p>
    <w:p w:rsidR="00916F19" w:rsidRPr="00916F19" w:rsidRDefault="00916F19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en-GB"/>
        </w:rPr>
      </w:pPr>
    </w:p>
    <w:tbl>
      <w:tblPr>
        <w:tblStyle w:val="a5"/>
        <w:tblW w:w="10368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4"/>
        <w:gridCol w:w="7624"/>
      </w:tblGrid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Основи петрографії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Львів, вул. Грушевського, 4 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Факультет та кафедра, за якою закріплена дисциплі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Геологічний факультет, кафедра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інералогії, петрографії </w:t>
            </w:r>
            <w:r>
              <w:rPr>
                <w:rFonts w:ascii="Times" w:eastAsia="Times" w:hAnsi="Times" w:cs="Times"/>
                <w:sz w:val="24"/>
                <w:szCs w:val="24"/>
              </w:rPr>
              <w:t>і геохімії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Галузь знань, шифр та назва 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іальності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Галузь знань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“Природничі науки”</w:t>
            </w:r>
          </w:p>
          <w:p w:rsidR="0003286D" w:rsidRDefault="002A4F78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іальність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Науки про землю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іалізація    </w:t>
            </w:r>
            <w:r>
              <w:rPr>
                <w:rFonts w:ascii="Times" w:eastAsia="Times" w:hAnsi="Times" w:cs="Times"/>
                <w:sz w:val="24"/>
                <w:szCs w:val="24"/>
              </w:rPr>
              <w:t>Геологія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Побережська Ірина Володимирівна.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кандидат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геолого-м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інералогічних наук, доцент кафедри мінералогії, петрографії і геохімії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Борняк Уляна Іванівна. </w:t>
            </w:r>
            <w:r>
              <w:rPr>
                <w:rFonts w:ascii="Times" w:eastAsia="Times" w:hAnsi="Times" w:cs="Times"/>
                <w:sz w:val="24"/>
                <w:szCs w:val="24"/>
              </w:rPr>
              <w:t>кандидат геологічних наук, доцент кафедри мінералогії, петрографії і геохімії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Контактна інформація викладачі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Побережська І.В.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-mail: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iryna.poberezhska@lnu.edu.ua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 на Веб-сайті геологічного факультету: </w:t>
            </w:r>
          </w:p>
          <w:p w:rsidR="0003286D" w:rsidRDefault="006776A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2A4F7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https://geology.lnu.edu.ua/employee/poberezhska-iryna-volodymyrivna</w:t>
              </w:r>
            </w:hyperlink>
          </w:p>
          <w:p w:rsidR="0003286D" w:rsidRPr="002A4F78" w:rsidRDefault="002A4F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Борняк</w:t>
            </w:r>
            <w:r w:rsidRPr="002A4F7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4F7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2A4F7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e-mail: </w:t>
            </w:r>
            <w:r w:rsidR="006776AC">
              <w:fldChar w:fldCharType="begin"/>
            </w:r>
            <w:r w:rsidR="006776AC" w:rsidRPr="00916F19">
              <w:rPr>
                <w:lang w:val="en-GB"/>
              </w:rPr>
              <w:instrText>HYPERLINK "mailto:ulyana.bornyak@lnu.edu.ua" \h</w:instrText>
            </w:r>
            <w:r w:rsidR="006776AC">
              <w:fldChar w:fldCharType="separate"/>
            </w:r>
            <w:r w:rsidRPr="002A4F7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GB"/>
              </w:rPr>
              <w:t>ulyana.bornyak@lnu.edu.ua</w:t>
            </w:r>
            <w:r w:rsidR="006776AC">
              <w:fldChar w:fldCharType="end"/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 на Веб-сайті геологічного факультету: 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https://geology.lnu.edu.ua/employee/bornyak-ulyana-ivanivna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Консультації по курсу відбуваються в день проведення лекцій (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на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кафедрі,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ind w:right="39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Петрографія є фундаментальною наукою про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г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ірські породи, які представляють геологічно самостійні частини земної кори. Предметом навчальної дисципліни “Основи петрографії”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являється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всебічне вивчення мінерального складу гірських (магматичних, метаморфічних, метасоматичних) порід, деталей їх будови (структура, текстура), характеру і ступеню вторинних змін, а також особливостей їх хімічного складу. Курс складається з двох частин - лекційної і лабораторної. На лекціях даються теоретичні основи петрографії. На лабораторних заняттях розглядаються методики аналізу мінерального складу порід, а також проводиться інтерпретація петрохімічних аналізів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ізноманітних порід 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 w:rsidP="009371B1">
            <w:pPr>
              <w:pStyle w:val="normal"/>
              <w:widowControl w:val="0"/>
              <w:spacing w:before="12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2556F">
              <w:rPr>
                <w:rFonts w:ascii="Times" w:eastAsia="Times" w:hAnsi="Times" w:cs="Times"/>
                <w:b/>
                <w:sz w:val="24"/>
                <w:szCs w:val="24"/>
              </w:rPr>
              <w:t>О</w:t>
            </w:r>
            <w:r w:rsidR="009371B1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с</w:t>
            </w:r>
            <w:r w:rsidR="0092556F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нови</w:t>
            </w:r>
            <w:r w:rsidRPr="0092556F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9371B1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петрографії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" w:eastAsia="Times" w:hAnsi="Times" w:cs="Times"/>
                <w:sz w:val="24"/>
                <w:szCs w:val="24"/>
              </w:rPr>
              <w:t>є нормативною дисципліною зі спеціальності 103 Науки про Землю, за спеціальністю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Геологія, яка викладається в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V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семестрі в обсязі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4,0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кредиті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Метою навчальної дисципліни “Основи петрографії”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є всебічне вивчення гірської породи - їх мінералогічний та хімічний склад, внутрішня будова, відношення до навколишніх части земної кори та процеси їх утворення. Петрографія не обмежується визначенням та описом гірської породи, а виявляє залежність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іх їх властивостей від процесу їх утворення.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Завдання курсу: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розвинути у студентів логіку петрографічного мислення - походження кристалічних порід в земній корі та їх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спі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ідношення з тектонічними процесами;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розуміти основні походження магматичних порід з точки зору тектонічних та фізико-хімічних процесів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земній корі, які сприяють виникненню таких порід та їх різноманіття з точки зору хімізму магматичних розплавів;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надати теоретичні основи вивчення природних сполучень гірських порід  </w:t>
            </w:r>
          </w:p>
        </w:tc>
      </w:tr>
      <w:tr w:rsidR="0003286D" w:rsidRPr="00916F1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  <w:highlight w:val="white"/>
              </w:rPr>
              <w:t>Основна література: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Даминова А.М. Петрография магматических пород. М.: Недра, 1967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Елисеев Н.А. Метаморфизм. М.: Недра, 1963.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Заварицкий А.Н. Изверженные горные породы. М.: изд-во АН СССР, 1956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Классификация и номенклатура магматических горных пород. М.: Недра, 1981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Лодочников В.Н. Главнейшие породообразующие минералы. М.: Недра, 1974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Магматические горные породы (ультраосновные, основные, кислые, средние, щелочные). М.: Наука, 1984, 1985, 1987, 1988.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Методические указания к лабораторным занятиям по курсу “Петрография магматических и метаморфических пород” (Магматические породы). Львов: ЛГУ, 1989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Омельяненко Б.И. Околорудные гидротермальные изменения пород. М., 1978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Петрография (учебник). М.: изд-во МГУ,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 І, 1976, ч. ІІ, 1981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Петрография (учебник). М.: МГУ, 1986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Половинкина Ю.Ир. Структуры и текстуры изверженных и метаморфических горных пород. М.: Недра,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.І и ч. II, т. 1, 1966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Саранчина Г.М., Шинкарев Н.Ф. Петрология магматических и метаморфических пород. Л.: Недра, 1973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Фации регионального метаморфизма (под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ред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В.С.Соболева). М.: Недра, 1970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Додаткова література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Добрецов Н.Л. Введение в глобальную петрологию. Новосибирск: Наука, 1980. - 199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Заварицкий А.Н. Введение в петрохимию изверженных горных пород. М.: АН СССР, 1950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Кокс К.Г., Белл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Дж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., Панкхарст Р.Дж. Интерпретация изверженных горных пород. М.: Недра, 1982. - 414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Кривдик С.Г., Ткачук В.И. Петрология щелочных пород Украинского щита. К.: Наук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умка, 1990. - 445 с.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Кузнецов Ю.А. Главные типы магматических формаций. М.: Недра, 1964. - 387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Лодочников В.Н. Основы кристаллооптики. М.; Л.; Госгеолиздат, 1947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Миловский А.В. Минералогия и петрография. М.: Недра, 1979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Мурхауз В. Практическая петрография. М.: ИЛ, 1963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Николаев В.А., Доливо-Добровольский В.В. Основы теории процессов магматизма и метаморфизма. М.: Госгеолтехиздат, 1961. - 338 с.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Петрографическая словарь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од ред. В.П.Петрова, О.А.Богатикова, Р.П.Петрова. М.: Недра, 1981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Петрография и петрология магматических, метаморфических и метасоматических горных пород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 xml:space="preserve"> / 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ед. В.С.Попов, О.А.Богатиков. М.: Логос, 2001. - 763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Раст Х. Вулканы и вулканизм. М.: Мир, 1982. - 343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Рингвуд А.Э. Состав и петрология мантии Земли. М.: Недра, 1981. - 584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Рыка В., Малишевская А. Петрографический словарь. М.: Недра, 1989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Татарский В.Б. Кристаллооптика и иммерсионный метод. М.: Недра, 1965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Трегер В.Е. Оптическое определение породообразующих минералов. М.: Недра, 1968. - 197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Хьюджес Ч. Петрология изверженных пород. М.: Недра, 1988. - 320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Четвериков С.Д. Методика кристаллооптических исследований шлифов. М.: Госгеолиздат, 1949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Шрайтер П., Бельт Р. Определитель горных пород. М.: Мир, 1977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Шинкарев Н.Ф., Иванников В.В. Физико-химическая петрология изверженных пород. Л.: Недра, 1983. - 271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Інформаційні ресурси</w:t>
            </w:r>
          </w:p>
          <w:p w:rsidR="0003286D" w:rsidRPr="0092556F" w:rsidRDefault="002A4F78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en-GB"/>
              </w:rPr>
            </w:pPr>
            <w:r w:rsidRPr="0092556F">
              <w:rPr>
                <w:rFonts w:ascii="Times" w:eastAsia="Times" w:hAnsi="Times" w:cs="Times"/>
                <w:sz w:val="24"/>
                <w:szCs w:val="24"/>
                <w:lang w:val="en-GB"/>
              </w:rPr>
              <w:t>Geokem - lgneous Geochemistry (</w:t>
            </w:r>
            <w:r w:rsidR="006776AC">
              <w:fldChar w:fldCharType="begin"/>
            </w:r>
            <w:r w:rsidR="006776AC" w:rsidRPr="00916F19">
              <w:rPr>
                <w:lang w:val="en-GB"/>
              </w:rPr>
              <w:instrText>HYPERLINK "http://www.geokem.com/" \h</w:instrText>
            </w:r>
            <w:r w:rsidR="006776AC">
              <w:fldChar w:fldCharType="separate"/>
            </w:r>
            <w:r w:rsidRPr="0092556F">
              <w:rPr>
                <w:rFonts w:ascii="Times" w:eastAsia="Times" w:hAnsi="Times" w:cs="Times"/>
                <w:color w:val="1155CC"/>
                <w:sz w:val="24"/>
                <w:szCs w:val="24"/>
                <w:u w:val="single"/>
                <w:lang w:val="en-GB"/>
              </w:rPr>
              <w:t>http://www.geokem.com/</w:t>
            </w:r>
            <w:r w:rsidR="006776AC">
              <w:fldChar w:fldCharType="end"/>
            </w:r>
            <w:r w:rsidRPr="0092556F">
              <w:rPr>
                <w:rFonts w:ascii="Times" w:eastAsia="Times" w:hAnsi="Times" w:cs="Times"/>
                <w:sz w:val="24"/>
                <w:szCs w:val="24"/>
                <w:lang w:val="en-GB"/>
              </w:rPr>
              <w:t>)</w:t>
            </w:r>
          </w:p>
          <w:p w:rsidR="0003286D" w:rsidRPr="0092556F" w:rsidRDefault="002A4F78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en-GB"/>
              </w:rPr>
            </w:pPr>
            <w:r w:rsidRPr="0092556F">
              <w:rPr>
                <w:rFonts w:ascii="Times" w:eastAsia="Times" w:hAnsi="Times" w:cs="Times"/>
                <w:sz w:val="24"/>
                <w:szCs w:val="24"/>
                <w:lang w:val="en-GB"/>
              </w:rPr>
              <w:t xml:space="preserve">GEOROC </w:t>
            </w: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• A global geochemical database (</w:t>
            </w:r>
            <w:r w:rsidR="006776AC">
              <w:fldChar w:fldCharType="begin"/>
            </w:r>
            <w:r w:rsidR="006776AC" w:rsidRPr="00916F19">
              <w:rPr>
                <w:lang w:val="en-GB"/>
              </w:rPr>
              <w:instrText>HYPERLINK "http://georoc.mpch-mainz.gwdg.de/Start.asp" \h</w:instrText>
            </w:r>
            <w:r w:rsidR="006776AC">
              <w:fldChar w:fldCharType="separate"/>
            </w:r>
            <w:r w:rsidRPr="009255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GB"/>
              </w:rPr>
              <w:t>http://georoc.mpch-mainz.gwdg.de/Start.asp</w:t>
            </w:r>
            <w:r w:rsidR="006776AC">
              <w:fldChar w:fldCharType="end"/>
            </w: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03286D" w:rsidRPr="0092556F" w:rsidRDefault="002A4F78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Geochemical Earth Reference Model (GERM) (</w:t>
            </w:r>
            <w:r w:rsidR="006776AC">
              <w:fldChar w:fldCharType="begin"/>
            </w:r>
            <w:r w:rsidR="006776AC" w:rsidRPr="00916F19">
              <w:rPr>
                <w:lang w:val="en-GB"/>
              </w:rPr>
              <w:instrText>HYPERLINK "http://earthref.org/" \h</w:instrText>
            </w:r>
            <w:r w:rsidR="006776AC">
              <w:fldChar w:fldCharType="separate"/>
            </w:r>
            <w:r w:rsidRPr="009255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GB"/>
              </w:rPr>
              <w:t>http://earthref.org/</w:t>
            </w:r>
            <w:r w:rsidR="006776AC">
              <w:fldChar w:fldCharType="end"/>
            </w: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cgi-bin/germ-s()-main.cgi)</w:t>
            </w:r>
          </w:p>
          <w:p w:rsidR="0003286D" w:rsidRPr="0092556F" w:rsidRDefault="002A4F78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W.M.White Geochemistry 2006 (</w:t>
            </w:r>
            <w:r w:rsidR="006776AC">
              <w:fldChar w:fldCharType="begin"/>
            </w:r>
            <w:r w:rsidR="006776AC" w:rsidRPr="00916F19">
              <w:rPr>
                <w:lang w:val="en-GB"/>
              </w:rPr>
              <w:instrText>HYPERLINK "http://imwa.info/geochemistry/" \h</w:instrText>
            </w:r>
            <w:r w:rsidR="006776AC">
              <w:fldChar w:fldCharType="separate"/>
            </w:r>
            <w:r w:rsidRPr="009255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GB"/>
              </w:rPr>
              <w:t>http://imwa.info/geochemistry/</w:t>
            </w:r>
            <w:r w:rsidR="006776AC">
              <w:fldChar w:fldCharType="end"/>
            </w: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03286D" w:rsidRPr="0092556F" w:rsidRDefault="002A4F78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lgneous</w:t>
            </w:r>
            <w:proofErr w:type="gramEnd"/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Sedimentary Rock Compositional Databases (http://</w:t>
            </w:r>
          </w:p>
          <w:p w:rsidR="0003286D" w:rsidRPr="0092556F" w:rsidRDefault="002A4F78">
            <w:pPr>
              <w:pStyle w:val="normal"/>
              <w:widowControl w:val="0"/>
              <w:spacing w:line="240" w:lineRule="auto"/>
              <w:ind w:left="720"/>
              <w:rPr>
                <w:rFonts w:ascii="Times" w:eastAsia="Times" w:hAnsi="Times" w:cs="Times"/>
                <w:color w:val="FF0000"/>
                <w:sz w:val="24"/>
                <w:szCs w:val="24"/>
                <w:lang w:val="en-GB"/>
              </w:rPr>
            </w:pPr>
            <w:r w:rsidRPr="00925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www.ige.csic.es/sdbp/)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кількість годин - 120.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аудиторних годин   -  80:                        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лекцій   -  32 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лабораторні - 48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самостійна робота  -  40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 результаті проходження курсу студент повинен: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знати </w:t>
            </w:r>
            <w:r>
              <w:rPr>
                <w:rFonts w:ascii="Times" w:eastAsia="Times" w:hAnsi="Times" w:cs="Times"/>
                <w:sz w:val="24"/>
                <w:szCs w:val="24"/>
              </w:rPr>
              <w:t>систематику кристалічних порід;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вміти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визначати магматичні та метаморфічні гірські породи макроскопічно;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описувати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мінеральний склад та структурні особливості кристалічних гірських порід за допомогою мікроскопічного методу.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Показники заломлення, оптична індикатриса, породотвірні мінерали, гірська порода, структури, текстури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Очний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ст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програмою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Проведення лекцій, лабораторних, консультацій для кращого розуміння тем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Подано нижче у табличній формі СХЕМА КУРСУ “ОСНОВИ ПЕТРОГРАФІЇ”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ідсумковий контроль, форма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Іспит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кінці семестру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комб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i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нований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Для вивчення курсу студенти потребують базових знань з загальної геології, фізики, хімії, мінералогії, достатні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х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для розуміння джерел інформації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Навчальні методи та техніки, які будуть використовуватися 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ід час викладання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Проведення лекцій з використанням мультимедійного забезпечення.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Проведення лабораторних занять та виконання індивідуальних завдань, що видаються для самостійної роботи, написання рефераті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Необхі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дне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Колекції шлі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ф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взірців магматичних та метаморфічних порід, поляризаційний мікроскоп, клин, кварцова пластинка таблиці для визначення магматичних і метаморфічних порід, малюнки, схеми, графіки, діаграми, мультимедійне обладнання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ідношенням: 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поточне опитування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кількість балів 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rFonts w:ascii="Times" w:eastAsia="Times" w:hAnsi="Times" w:cs="Times"/>
                <w:sz w:val="24"/>
                <w:szCs w:val="24"/>
              </w:rPr>
              <w:t>25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виконання самостійної роботи: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кількість балів 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тестування                                                                                          20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іспит                                                                                                    50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ідсумкова максимальна кількість балів 100.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Академічна доброчесність.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недоброчесності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Відвідання занять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є важливою складовою навчання. Очікується, що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 студенти відвідають усі лекції і лабораторні. Студенти мають інформувати викладача про неможливість відвідати заняття.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Література. </w:t>
            </w:r>
            <w:r>
              <w:rPr>
                <w:rFonts w:ascii="Times" w:eastAsia="Times" w:hAnsi="Times" w:cs="Times"/>
                <w:sz w:val="24"/>
                <w:szCs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Політика виставлення балів.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Враховуються бали набрані на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поточному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опитуванні, самостійній роботі, тестуванні та результати іспиту.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Питання до залі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ку чи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екзамену.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Перелік теоретичних питань з курсу: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кислих плутонічних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кислих вулканічних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плутонічних ультраосновних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вулканічних ультраосновних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плутонічних основних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вулканічних основних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середніх вулканічних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середніх плутонічних порід нормального ряду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сублужних вулканічних порід середнього складу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сублужних плутонічних порід середнього складу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lastRenderedPageBreak/>
              <w:t>Група лужних ультраосновних порід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лужних порід середнього складу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група лужних та сублужних основних порід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Реакційний ряд Боуена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Кристалізація при евтектичних відношеннях (діаграма діосид-анортит)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Кристалізація за законом безперервної реакційної взаємодії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іж розплавом та твердою фазою (діаграма альбіт-анортит)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Кристалізація за законом перитектики (в системах з інконгруентним плавленням: діаграма форстерит-кристобаліт)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Фактори та види метаморфізму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Структури та текстури метаморфічних порід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Гранулітова фація метаморфізму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Зеленосланцева фація метаморфізму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Епідот-амфіболітова фація метаморфізму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Амфіболітова фація регіонального метаморфізму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Фації контактового метаморфізму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Метаморфічні фації умов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ідвищеного тиску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Фації метаморфізму високих тисків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Ультраметаморфізм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Метасоматоз - поняття, фактори, типи (інфільтраційний та дифузійний)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Класифікація метасоматичних порід за Д.С.Коржинським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Грейзени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Вторинні кварцити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Скарни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Вапнякові скарни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Березити, лиственіти, ейсити та гареваїти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Пропілітизація та зеленокам’яні перетворення    </w:t>
            </w:r>
          </w:p>
        </w:tc>
      </w:tr>
      <w:tr w:rsidR="0003286D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2A4F78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sz w:val="28"/>
          <w:szCs w:val="28"/>
        </w:rPr>
        <w:t>Шкала оцінювання знань та вмінь студенті</w:t>
      </w:r>
      <w:proofErr w:type="gramStart"/>
      <w:r>
        <w:rPr>
          <w:rFonts w:ascii="Times" w:eastAsia="Times" w:hAnsi="Times" w:cs="Times"/>
          <w:sz w:val="28"/>
          <w:szCs w:val="28"/>
        </w:rPr>
        <w:t>в</w:t>
      </w:r>
      <w:proofErr w:type="gramEnd"/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tbl>
      <w:tblPr>
        <w:tblStyle w:val="a6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3075"/>
        <w:gridCol w:w="3795"/>
      </w:tblGrid>
      <w:tr w:rsidR="0003286D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 ECTS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 в балах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 за національною шкалою</w:t>
            </w:r>
          </w:p>
        </w:tc>
      </w:tr>
      <w:tr w:rsidR="0003286D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90-100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Відмінно</w:t>
            </w:r>
          </w:p>
        </w:tc>
      </w:tr>
      <w:tr w:rsidR="0003286D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81-89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Дуже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добре</w:t>
            </w:r>
            <w:proofErr w:type="gramEnd"/>
          </w:p>
        </w:tc>
      </w:tr>
      <w:tr w:rsidR="0003286D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71-80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Добре</w:t>
            </w:r>
            <w:proofErr w:type="gramEnd"/>
          </w:p>
        </w:tc>
      </w:tr>
      <w:tr w:rsidR="0003286D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61-70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Задовільно</w:t>
            </w:r>
          </w:p>
        </w:tc>
      </w:tr>
      <w:tr w:rsidR="0003286D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51-60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Достатньо</w:t>
            </w:r>
          </w:p>
        </w:tc>
      </w:tr>
    </w:tbl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3286D" w:rsidRDefault="002A4F78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sz w:val="28"/>
          <w:szCs w:val="28"/>
        </w:rPr>
        <w:t xml:space="preserve">Схема курсу “Основи петрографії” </w:t>
      </w:r>
    </w:p>
    <w:p w:rsidR="0003286D" w:rsidRDefault="0003286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Style w:val="a7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0"/>
        <w:gridCol w:w="6510"/>
        <w:gridCol w:w="1455"/>
        <w:gridCol w:w="915"/>
      </w:tblGrid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Тиж-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день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Тема, короткі тези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Форма занять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К-ть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годин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Змістовий модуль 1. Кристалооптика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Кристалооптика. Поляризація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ітла. Смужка Бекке, Причина її появи та умови спостереження. Дисперсійний ефект. Шагрень, рельєф, контури мінералі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. Сім груп мінералів за В.Н.Лодочніковим. Габітус, спайність, плеохроїзм, псевдоабсорбція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Оптична індикатриса одновісного та двохвісного мінералів, її геометричні особливості, елементи симетрії, орієнтація в кристалах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ізних сингоній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" w:eastAsia="Times" w:hAnsi="Times" w:cs="Times"/>
                <w:sz w:val="24"/>
                <w:szCs w:val="24"/>
              </w:rPr>
              <w:t>Двозаломлення мінералів. Визначення двозаломлення в тисячних та таблиці Мішель-Леві для безбарвних і забарвлених мінералів. Аномальні кольори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Погасання та його види. Виміри кутів погасання. С: амфіболів та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іроксенів. Визначення знаку видовження. Плеохроїзм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по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осях індикатрис. Визначення номеру плагіоклазі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методами Мішель-Леві та Бекке-Беккера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фемічних породоутворюючих мінералів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салічних породоутворюючих мінералі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вторинних і акцесорних мінералів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Змістовий модуль 2. 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Петрографія магматичних порід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1. Петрографія - наука про 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ірські породи.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Поняття гірська порода. Поді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гірських порід (за генетичними ознаками) на магматичні, метаморфічні та осадові. Місце петрографії серед інших наук. Головні етапи розвитку петрографії та роль вітчизняних вчених в її становленні. Головні методи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ідження гірських порід: геологічний,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мікроскопічний, хімічний, фізико-хімічний (експериментальний). Практичне значення петрографії.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Первинні мінерали магматичних порід.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Мінерали магматичних порід, ї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х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поділ за значенням на головні, другорядні та акцесорні. Поділ за кольором - безбарвні та забарвлені. Парагенетичні асоціації в магматичних гірських породах. Головні породотвірні мінерали магматичних порід (оптичні властивості, хімічний склад та ін.): польовий шпат, кварц, фельдшпатоїди, олівіни,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іроксени, амфіболи, слюди, деякі акцесорні мінерали. Головні вторинні мінерали. Кількісний мінеральний склад та його значення для систематики магматичних порід.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Хімічний склад магматичних порід та його значення для систематики.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Способи порівняння складу магматичних порід та перерахунки хімічних аналізів. Перерахунки хімічних аналізі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за методом А.Н.Заварицького. Ряди - нормальний, плюмазитовий, агпаїтовий, графічний. Зображення.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2. Структури та текстури магматичних порід.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Поняття про структури і текстури. Структурні ознаки порід. Ступінь кристалічності, розмі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зерен (абсолютний, відносний). Форма мінеральних компоненті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, ступінь ідіоморфізму.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ізні типи взаємовідносин проростання (пертити, пойкіліти, пегматити, мирмекіти), реакційні сполуки, корозія. Головні структури магматичних порід (інтрузивних, ефузивних) та їх особливості. Головні текстури. Фактори, які впливають на кристалізацію магми.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Класифікація магматичних порід.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Основи класифікації. Фактори, форми залягання, мінеральний склад, хімічний склад, структури і текстури. Глибинні (абісальні) породи,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г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іпабісальні та приповерхневі (субвулканічні породи); жильні породи (асхістові та діасхістові). Ефузивні породи (кайн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о-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палеотипні). Класифікація магматичних порід: тип, клас, група, ряд, сімейство. Групи магматичних порід: ультраосновні, основні, середні, кислі, лужні.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3. Сімества магматичних порід.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Сімейство кислих інтрузивів.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Характеристика кожного сімейства порід включає: головні риси мінерального та хімічного складу, характеристика структур і текстур,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ізновиди глибинних, гіпабісальних та ефузивних (кайнотипних та палеотипних) порід і розповсюдженість та головні геологічні особливості. Основні корисні копалини, пов'язані з породами сімейства.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Середні інтрузивні породи: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головні риси мінерального та хімічного складу, характеристика структур та текстур,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ізновиди глибинних, гіпабісальних та ефузивних (кайнотипних та палеотипних) порід і розповсюдженість та головні геологічні особливості. Основні корисні копалини,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 xml:space="preserve">пов'язані з породами сімейства. 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Основні та ультраосновні породи: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головні риси мінерального та хімічного складу, характеристика структур та текстур,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ізновиди глибинних, гіпабісальних та ефузивних (кайнотипних та палеотипних) порід і розповсюдженість та головні геологічні особливості. Основні корисні копалини, пов'язані з породами сімейства.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Лужний ряд </w:t>
            </w:r>
            <w:r>
              <w:rPr>
                <w:rFonts w:ascii="Times" w:eastAsia="Times" w:hAnsi="Times" w:cs="Times"/>
                <w:sz w:val="24"/>
                <w:szCs w:val="24"/>
              </w:rPr>
              <w:t>(нефелінові сієніти, безпольовошпатові лужні породи, лужні габроїди)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Особливості ефузивних порід.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Дві генерації мінералів, структурно-текстурні ознаки. Кайнотипні та палеотипні породи. Форми залягання. Основні риси, відмінності.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Нормальний ряд.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Ефузивні породи кислі та середні. Мінеральний склад вкрапленикі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основної маси, структурно-текстурні ознаки.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ізновиди текстур.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Ефузивні породи основного складу.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Лужний ряд ефузивних порід. Мінеральний склад, структури,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ізновиди.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Жильні породи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(асхістові та діасхістові): головні риси мінерального та хімічного складу, характеристика структур і текстур,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ізновиди глибинних, гіпабісальних та ефузивних (кайнотипних та палеотипних) порід і розповсюдженість та головні геологічні особливості. Основні корисні копалини, пов'язані з породами.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7. Загальні закономірності кристалізації магматичних розплавів.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Кристалізація при евтектичних відношеннях (розгляд діаграми); перитектична кристалізація (в системах з інконгруентним плавленням твердих фаз; діаграма); закон безперервної реакційної взаємодії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іж розплавом та твердою фазою; в системах з твердими розвинами (діаграма). Реакційні ряда та порядок виділення мінералів з магм (реакційний ряд Н.Боуена).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8. Походження вивержених порід.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Причини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ізноманітності вивержених порід. Вчення про диференціацію магми. Прояви диференціації в природі. Теорія диференціації. Гравітаційно-кристалізаційна диференціація. Роль легких компоненті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при диференціації. Асиміляція та гібридизм. Первинні магми.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Поняття про магматичні формації.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Розподіл магматичних порід в просторі та часі. Споріднені групи (серії) магматичних порід. Поняття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про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петрографічні провінції. Магматичні формації. Основні періоди та етапи магматичної активності геосинклінальних зон. Головні риси магматизму платформ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Змістовий модуль 3.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lastRenderedPageBreak/>
              <w:t xml:space="preserve"> Петрографія метаморфічних порід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1. Розвиток вчення про метаморфізм.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Поняття метаморфізм та метаморфічні гірські породи. Значення метаморфічних порід в будові земної кори. Осадові та магматичні породи як похідний матеріал для метаморфічних порід (орт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о-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та парапороди). Фактори метаморфізму: температура, тиск (гідростатичний та орієнтований - “стрес”), розчини та леткі речовини. Типи метаморфізму. Практичне значення метаморфічних порід.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Особливості мінерального складу та хімізм метаморфічних порід.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Головні мінерали метаморфічних порід та їх діагностичні ознаки. Особливості мінерального складу метаморфічних порід у порівнянні з магматичними та осадовими. Парагенезис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інералів метаморфічних порід. Первинний хімічний склад та його значення при метаморфізмі. Ізохімічний та алохімічний метаморфізм. Правило фаз Гібса, Коржинського, Гольдшмідта.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2. Структури та текстури метаморфічних порід.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Характерні особливості мінералів метаморфічних порід. Ідеобластичні та ксенобластичні мінерали. Структури метаморфічних порід та їх головні типи: кристалобластичні, катакластичні,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рел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іктові. Текстури метаморфічних порід.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Класифікація метаморфічних порід.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Продукти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контактового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метаморфізму (роговики та їх фації, плямисті і вузлуваті сланці: класи роговиків за Гольдшмідтом).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3. Катакластичний метаморфізм.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Його продукти, особливості структур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14,15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4. Регіональний метаморфізм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Схема фацій за В.С.Соболєвим, П.Ескола. Гранулітова, амфіболітова, епідот-амфіболітова,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зеленосланцева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фації помірних тисків. Фації високих тисків. Критичні мінерали фацій, структурно-текстурні ознаки. Фації еклогітова, дистенових сланців та гнейсів, глаукофанових сланці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5. Ультраметаморфізм.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Загальні поняття. Анатексис, палінгенез. Мігматити. Гранітизація (особливості гранітизованих порід, походження гранітів). Основні риси регресивного (діафторез) метаморфізму.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6. Метасоматичні процеси.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Особливості метасоматичних порід та їх головні типи. Поняття про метасоматоз. Способи переміщення компонентів (дифузія, інфільтрація, рухливі і нерухливі). Стадії метасоматозу (кислотність-лужність) за Д.С.Коржинським. Класифікація метасоматичних процесі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за Д.С.Коржинським, Б.І.Омельченком. Скарни, грейзени, вторинні кварцити, пропіліти, березити, лиственіти, ейсити, чареваїти. Головні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 xml:space="preserve">риси хімізму та мінеральний склад метасоматитів, фації, основні родовища корисних копалин, пов'язаних з ними.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Всього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Змістовий модуль 1. Кристалооптика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Основи кристалооптики. Будова поляризаційного мікроскопу і приведення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його 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робочий стан. Оптичні властивості мінералів. Оптична індикатриса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Кристалооптичні властивості мінералів у прохідному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ітлі. Кристалооптичні властивості мінералів при включеному аналізаторі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I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II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III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IV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V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VI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Кристалооптичні властивості мінералів VII групи (за Лодочніковим)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Змістовий модуль 2. Магматичні породи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Основні породотвірні фемічні мінерали магматичних порід. Основні породотвірні салічні мінерали магматичних порід. Основні породотвірні мінерали, вторинні і ксеногенні мінерали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 і жильних порід групи перидотиті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6,7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 порід групи габро-базальті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ефузивних порід групи габро-базальті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жильних порід групи габро-базальті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 порід групи діоритів-андезиті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ефузивних порід групи діоритів-андезиті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Характеристика жильних порід групи діоритів-андезиті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 порід групи гранітів-ріолітів, гранодіоритів-дациті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ефузивних порід групи гранітів-ріолітів, гранодіоритів-дациті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жильних порід групи гранітів-ріолітів, гранодіоритів-дациті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 порід групи сієнітів-трахіті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ефузивних і жильних порід групи сієнітів-трахіті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інтрузивних, ефузивних і жильних порід групи нефелінових сієніті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Характеристика інтрузивних, ефузивних і жильних порід групи лужних габроїдів-базальтоїді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Перерахунок хімічного складу магматичної породи за методом А.Н.Заварицького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Змістовий модуль 3. 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Метаморфічні і метасоматичні породи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Вивчення мінералів (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 мікроскопом) власне метаморфічного походження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Вивчення структур метаморфічних порід в шліфах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катакластичних порід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порід контактового метаморфізму. Роговики, плямисті і вузлуваті сланці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порід гранулітової і амфіболітової фацій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порід епідот-амфіболітової і зеленосланцевої фацій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порід фації дистенових сланців і гнейсів та фації глаукофанових сланців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порід еклогітової фації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Мікроскопічні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досл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ідження скарнів, грейзенів, пропілітів, лиственітів, березитів, гумбеїтів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03286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48</w:t>
            </w:r>
          </w:p>
        </w:tc>
      </w:tr>
      <w:tr w:rsidR="0003286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6-16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Для поглибленого опрацювання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іх тем і розділів курсу “Основи петрографії” пропонуються наступні теми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рефератів: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Ефузивні виливи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Вулканічні експлозії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Типи вулкані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за вулканічним апаратом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Опис алохтонних плутонічних тіл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Автохтонні плутонічні і плутонометаморфічні тіла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Геохімічні гранітоїді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Магматичні комплекси Українського щита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Салічні формації магматичних порід Українського щита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Мафічно-салічні формації Волино-Поліського поясу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Чарнокити Українського щита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Гнейсо-ендербітова формація Українського щита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Плутоно-метаморфічні асоціації Українського щита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Кислий вулканізм Закарпаття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Вулканічні породи Вигорлат-Гутинського пасма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Магматичні утворення океанічних структур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Магматичні утворення зон переходу “океан-континент”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Магматичні утворення фундаменту докембрійських платформ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Магматичні утворення чохлі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платформ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Магматичні утворення рифтових структур</w:t>
            </w:r>
          </w:p>
          <w:p w:rsidR="0003286D" w:rsidRDefault="002A4F7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Головні риси магматизму складчастих поясі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самостійна</w:t>
            </w:r>
          </w:p>
          <w:p w:rsidR="0003286D" w:rsidRDefault="002A4F78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86D" w:rsidRDefault="002A4F78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42</w:t>
            </w:r>
          </w:p>
        </w:tc>
      </w:tr>
    </w:tbl>
    <w:p w:rsidR="0003286D" w:rsidRDefault="0003286D">
      <w:pPr>
        <w:pStyle w:val="normal"/>
        <w:widowControl w:val="0"/>
        <w:spacing w:line="240" w:lineRule="auto"/>
        <w:jc w:val="both"/>
      </w:pPr>
    </w:p>
    <w:sectPr w:rsidR="0003286D" w:rsidSect="000328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998"/>
    <w:multiLevelType w:val="multilevel"/>
    <w:tmpl w:val="56B61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8FF4BE7"/>
    <w:multiLevelType w:val="multilevel"/>
    <w:tmpl w:val="35B01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57C6E9F"/>
    <w:multiLevelType w:val="multilevel"/>
    <w:tmpl w:val="44480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8285894"/>
    <w:multiLevelType w:val="multilevel"/>
    <w:tmpl w:val="C416F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E2033F9"/>
    <w:multiLevelType w:val="multilevel"/>
    <w:tmpl w:val="0BD8B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D760F5"/>
    <w:multiLevelType w:val="multilevel"/>
    <w:tmpl w:val="AF0E3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03286D"/>
    <w:rsid w:val="0003286D"/>
    <w:rsid w:val="002A4F78"/>
    <w:rsid w:val="006776AC"/>
    <w:rsid w:val="00871464"/>
    <w:rsid w:val="00916F19"/>
    <w:rsid w:val="0092556F"/>
    <w:rsid w:val="0093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4"/>
  </w:style>
  <w:style w:type="paragraph" w:styleId="1">
    <w:name w:val="heading 1"/>
    <w:basedOn w:val="normal"/>
    <w:next w:val="normal"/>
    <w:rsid w:val="000328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328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328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328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328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328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286D"/>
  </w:style>
  <w:style w:type="table" w:customStyle="1" w:styleId="TableNormal">
    <w:name w:val="Table Normal"/>
    <w:rsid w:val="000328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28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3286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328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328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328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logy.lnu.edu.ua/employee/poberezhska-iryna-volodymyr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2020-10-06T06:41:00Z</dcterms:created>
  <dcterms:modified xsi:type="dcterms:W3CDTF">2020-10-27T09:40:00Z</dcterms:modified>
</cp:coreProperties>
</file>