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1" w:rsidRPr="00EF607C" w:rsidRDefault="006D33D1" w:rsidP="00A66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07C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proofErr w:type="spellStart"/>
      <w:r w:rsidRPr="00EF607C">
        <w:rPr>
          <w:rFonts w:ascii="Times New Roman" w:hAnsi="Times New Roman"/>
          <w:b/>
          <w:sz w:val="28"/>
          <w:szCs w:val="28"/>
          <w:lang w:val="uk-UA"/>
        </w:rPr>
        <w:t>Еколого-геохімічні</w:t>
      </w:r>
      <w:proofErr w:type="spellEnd"/>
      <w:r w:rsidRPr="00EF607C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</w:p>
    <w:p w:rsidR="006D33D1" w:rsidRPr="00EF607C" w:rsidRDefault="006D33D1" w:rsidP="003B48BC">
      <w:pPr>
        <w:pStyle w:val="a7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Еколого-геохімічні</w:t>
      </w:r>
      <w:proofErr w:type="spellEnd"/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 дослідження виконуються з метою</w:t>
      </w:r>
      <w:r w:rsidRPr="00EF607C">
        <w:rPr>
          <w:rFonts w:ascii="Times New Roman" w:hAnsi="Times New Roman"/>
          <w:sz w:val="24"/>
          <w:szCs w:val="24"/>
          <w:lang w:val="uk-UA"/>
        </w:rPr>
        <w:t>:</w:t>
      </w:r>
    </w:p>
    <w:p w:rsidR="006D33D1" w:rsidRPr="00EF607C" w:rsidRDefault="006D33D1" w:rsidP="003B48BC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- оцінки геохімічного стану ландшафтів та окремих компонентів ГС (вміст і поширення природних і техногенних елементів, сполук, речовин);</w:t>
      </w:r>
    </w:p>
    <w:p w:rsidR="006D33D1" w:rsidRPr="00EF607C" w:rsidRDefault="006D33D1" w:rsidP="003B48BC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- вивчення і оцінка аномальних геохімічних полів та високо контрастних геохімічних аномалій, техногенних геохімічних ореолів у різних середовищах (породах зони аерації,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грунтах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донних відкладах постійних і тимчасових водотоків, поверхневих і підземних водах, рослинності);</w:t>
      </w:r>
    </w:p>
    <w:p w:rsidR="006D33D1" w:rsidRPr="00EF607C" w:rsidRDefault="006D33D1" w:rsidP="003B48BC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- вивчення ландшафтно-геохімічних умов міграції та накопичення хімічних елементів та їх сполук, інших заб</w:t>
      </w:r>
      <w:bookmarkStart w:id="0" w:name="_GoBack"/>
      <w:bookmarkEnd w:id="0"/>
      <w:r w:rsidRPr="00EF607C">
        <w:rPr>
          <w:rFonts w:ascii="Times New Roman" w:hAnsi="Times New Roman"/>
          <w:sz w:val="24"/>
          <w:szCs w:val="24"/>
          <w:lang w:val="uk-UA"/>
        </w:rPr>
        <w:t>руднювачів природного і техногенного походження;</w:t>
      </w:r>
    </w:p>
    <w:p w:rsidR="006D33D1" w:rsidRPr="00EF607C" w:rsidRDefault="006D33D1" w:rsidP="003B48BC">
      <w:pPr>
        <w:pStyle w:val="a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- встановлення і вивчення джерел геохімічного забруднення ГС, зон їх впливу, складу і токсичності відходів.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видами </w:t>
      </w: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еколого-геохімічних</w:t>
      </w:r>
      <w:proofErr w:type="spellEnd"/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 досліджень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 є літохімічне,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радіогеохімічне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гідрогеохімічне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атмогеохімічне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біогеохімічне опробування.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Види та кількість компонентів ГС, що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опробовуються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щільність та методичні особливості відбору проб визначаються залежно від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еколого-геологічної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вивченості, ландшафтно-геохімічних умов, характеру господарського використання та рівня техногенних змін території досліджень, а також конкретними задачами геологічного завдання на проведення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еколого-геологічного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картування.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Опробування </w:t>
      </w:r>
      <w:r w:rsidRPr="00EF607C">
        <w:rPr>
          <w:rFonts w:ascii="Times New Roman" w:hAnsi="Times New Roman"/>
          <w:sz w:val="24"/>
          <w:szCs w:val="24"/>
          <w:lang w:val="uk-UA"/>
        </w:rPr>
        <w:t>окремих компонентів ГС на кожному пункті (точці) повинно бути комплексним, максимально спряженим, з урахуванням даних попередніх робіт.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Щільність опробування визначається з урахуванням наявності репрезентативних даних попередніх робіт та досліджень і повинна складати в середньому (для фонових територій з малими градієнтами зміни показників та параметрів) один пункт відбору проб на 4 км</w:t>
      </w:r>
      <w:r w:rsidRPr="00EF607C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EF607C">
        <w:rPr>
          <w:rFonts w:ascii="Times New Roman" w:hAnsi="Times New Roman"/>
          <w:sz w:val="24"/>
          <w:szCs w:val="24"/>
          <w:lang w:val="uk-UA"/>
        </w:rPr>
        <w:t> території, що вивчається. Кількість проб, відібраних із кожного компонента ГС, повинна забезпечувати обґрунтовані висновки щодо його екологічного стану. Допускається збільшення щільності опробування.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Опробування на кожному пункті (точці) відбору проб повинно супроводжуватись описом ландшафтних, геологічних, гідрогеологічних,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еколого-геологічних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умов ділянки робіт, проявів природних і техногенних процесів та явищ.</w:t>
      </w:r>
    </w:p>
    <w:p w:rsidR="006D33D1" w:rsidRPr="00EF607C" w:rsidRDefault="006D33D1" w:rsidP="003B4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Контроль опробування, обробка і підготовка проб для лабораторно-аналітичних досліджень виконується згідно “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Инструкции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геохимическим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методам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поисков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рудных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месторождений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” (1983р). Контрольному опробуванню підлягають, перш за все, виявлені комплексні аномалії, геохімічні бар’єри та ділянки, на яких одним із методів виявлено аномалії, які не підтверджуються іншими методами.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Методи </w:t>
      </w: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еколого-геохімічних</w:t>
      </w:r>
      <w:proofErr w:type="spellEnd"/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 досліджень.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У багатьох країнах світу, у тому числі і в Україні, проводяться широкі міждисциплінарні екологічні дослідження, або екологічний моніторинг, тобто контроль стану і змін природних систем під впливом антропогенних навантажень (спостереження, вивчення екологічної ситуації та її прогноз). Традиційно екологічний моніторинг ділиться на два основні види – </w:t>
      </w:r>
      <w:r w:rsidRPr="00EF607C">
        <w:rPr>
          <w:rFonts w:ascii="Times New Roman" w:hAnsi="Times New Roman"/>
          <w:b/>
          <w:sz w:val="24"/>
          <w:szCs w:val="24"/>
          <w:lang w:val="uk-UA"/>
        </w:rPr>
        <w:t>фоновий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, що полягає у спостереженні за біологічними, геохімічними і геофізичними параметрами довкілля в районах, розташованих поза сферою впливу локальних джерел забруднення, і </w:t>
      </w: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імпактний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спрямований на оцін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ку ступеня забруднення і трансформації середовища в промислових, урбанізованих і сільськогосподарських районах.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Серед геохімічних методів, що використовуються у </w:t>
      </w:r>
      <w:r w:rsidRPr="00EF607C">
        <w:rPr>
          <w:rFonts w:ascii="Times New Roman" w:hAnsi="Times New Roman"/>
          <w:b/>
          <w:sz w:val="24"/>
          <w:szCs w:val="24"/>
          <w:lang w:val="uk-UA"/>
        </w:rPr>
        <w:t>фоновому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 моніторингу довкілля, можна вирізнити три основних: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1. Метод кларків.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2. Вивчення геохімічної структури ландшафту.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3. Метод біогеохімічних циклів.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Метод кларків</w:t>
      </w:r>
      <w:r w:rsidRPr="00EF607C">
        <w:rPr>
          <w:rFonts w:ascii="Times New Roman" w:hAnsi="Times New Roman"/>
          <w:sz w:val="24"/>
          <w:szCs w:val="24"/>
          <w:lang w:val="uk-UA"/>
        </w:rPr>
        <w:t> – дослідження, пов’язані з оцінкою поширеності хімічних елементів у різних природних середовищах, – від  глобальних геосфер до локального рівня ландшафтів або екосистем.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Розрізняють глобальні, регіональні і локальні кларки елементів. Нині встановлено низку глобальних кларків літосфери і основних типів гірських порід.</w:t>
      </w:r>
      <w:r w:rsidR="00EF607C"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bookwu.net/imgs/1414103919image001.gif" style="width:9pt;height:17.25pt;visibility:visible">
            <v:imagedata r:id="rId8" o:title=""/>
          </v:shape>
        </w:pic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Вміст хімічних елементів у різних типах гірських порід, як правило, відрізняється від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кларка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літосфери. Кількісно цю відмінність Вернадський запропонував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виражат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и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кларком концентрації </w:t>
      </w:r>
      <w:r w:rsidRPr="00EF607C">
        <w:rPr>
          <w:rFonts w:ascii="Times New Roman" w:hAnsi="Times New Roman"/>
          <w:sz w:val="24"/>
          <w:szCs w:val="24"/>
          <w:lang w:val="uk-UA"/>
        </w:rPr>
        <w:t>(КК), що є відношенням вагового вмісту певного елемента в природному об’єкті С</w:t>
      </w:r>
      <w:r w:rsidRPr="00EF607C">
        <w:rPr>
          <w:rFonts w:ascii="Times New Roman" w:hAnsi="Times New Roman"/>
          <w:sz w:val="24"/>
          <w:szCs w:val="24"/>
          <w:vertAlign w:val="subscript"/>
          <w:lang w:val="uk-UA"/>
        </w:rPr>
        <w:t>і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 до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кларка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літосфери К:</w:t>
      </w:r>
    </w:p>
    <w:p w:rsidR="006D33D1" w:rsidRPr="00EF607C" w:rsidRDefault="00EF607C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9" o:spid="_x0000_i1026" type="#_x0000_t75" alt="http://bookwu.net/imgs/1414103919image002.gif" style="width:6.75pt;height:20.25pt;visibility:visible">
            <v:imagedata r:id="rId9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8" o:spid="_x0000_i1027" type="#_x0000_t75" alt="http://bookwu.net/imgs/1414103919image002.gif" style="width:6.75pt;height:20.25pt;visibility:visible">
            <v:imagedata r:id="rId9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7" o:spid="_x0000_i1028" type="#_x0000_t75" alt="http://bookwu.net/imgs/1414103919image003.gif" style="width:30.75pt;height:30pt;visibility:visible">
            <v:imagedata r:id="rId10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6" o:spid="_x0000_i1029" type="#_x0000_t75" alt="http://bookwu.net/imgs/1414103919image004.gif" style="width:17.25pt;height:30.75pt;visibility:visible">
            <v:imagedata r:id="rId11" o:title=""/>
          </v:shape>
        </w:pict>
      </w:r>
      <w:r w:rsidR="006D33D1" w:rsidRPr="00EF607C">
        <w:rPr>
          <w:rFonts w:ascii="Times New Roman" w:hAnsi="Times New Roman"/>
          <w:sz w:val="24"/>
          <w:szCs w:val="24"/>
          <w:lang w:val="uk-UA"/>
        </w:rPr>
        <w:t>&gt;1.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lastRenderedPageBreak/>
        <w:t>Ця величина завжди більше 0. Якщо КК = 1, то і вміст елемента в об’єкті дорівнює його вмісту в літосфері. У тому разі, коли С</w:t>
      </w:r>
      <w:r w:rsidRPr="00EF607C">
        <w:rPr>
          <w:rFonts w:ascii="Times New Roman" w:hAnsi="Times New Roman"/>
          <w:sz w:val="24"/>
          <w:szCs w:val="24"/>
          <w:vertAlign w:val="subscript"/>
          <w:lang w:val="uk-UA"/>
        </w:rPr>
        <w:t>і</w:t>
      </w:r>
      <w:r w:rsidRPr="00EF607C">
        <w:rPr>
          <w:rFonts w:ascii="Times New Roman" w:hAnsi="Times New Roman"/>
          <w:sz w:val="24"/>
          <w:szCs w:val="24"/>
          <w:lang w:val="uk-UA"/>
        </w:rPr>
        <w:t> набагато менше К, для отримання ці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лих чисел і більшої контрастності показника доцільно розраховувати зворотні вели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чини –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кларки  розсіювання 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(КР), що показують, у скільки разів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кларк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більше вмісту елемента в певному об’єкті:</w:t>
      </w:r>
    </w:p>
    <w:p w:rsidR="006D33D1" w:rsidRPr="00EF607C" w:rsidRDefault="00EF607C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5" o:spid="_x0000_i1030" type="#_x0000_t75" alt="http://bookwu.net/imgs/1414103919image002.gif" style="width:6.75pt;height:20.25pt;visibility:visible">
            <v:imagedata r:id="rId9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4" o:spid="_x0000_i1031" type="#_x0000_t75" alt="http://bookwu.net/imgs/1414103919image002.gif" style="width:6.75pt;height:20.25pt;visibility:visible">
            <v:imagedata r:id="rId9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3" o:spid="_x0000_i1032" type="#_x0000_t75" alt="http://bookwu.net/imgs/1414103919image005.gif" style="width:29.25pt;height:30pt;visibility:visible">
            <v:imagedata r:id="rId12" o:title=""/>
          </v:shape>
        </w:pict>
      </w:r>
      <w:r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2" o:spid="_x0000_i1033" type="#_x0000_t75" alt="http://bookwu.net/imgs/1414103919image006.gif" style="width:17.25pt;height:33.75pt;visibility:visible">
            <v:imagedata r:id="rId13" o:title=""/>
          </v:shape>
        </w:pict>
      </w:r>
      <w:r w:rsidR="006D33D1" w:rsidRPr="00EF607C">
        <w:rPr>
          <w:rFonts w:ascii="Times New Roman" w:hAnsi="Times New Roman"/>
          <w:sz w:val="24"/>
          <w:szCs w:val="24"/>
          <w:lang w:val="uk-UA"/>
        </w:rPr>
        <w:t>&lt;1.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Кларки гідросфери</w:t>
      </w: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Pr="00EF607C">
        <w:rPr>
          <w:rFonts w:ascii="Times New Roman" w:hAnsi="Times New Roman"/>
          <w:sz w:val="24"/>
          <w:szCs w:val="24"/>
          <w:lang w:val="uk-UA"/>
        </w:rPr>
        <w:t>Гідросфера Землі складається з трьох нерівних за масою склад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ників – вод  Світового океану (93%), поверхневих (озерних і річкових), підземних і ґрунтових вод. Води кожного з цих складників мають свій середній хімічний склад.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Особливо сильно за ступенем мінералізації, іонним 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мікрокомпонентним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складом, формами існування елементів відрізняються води континентального блоку і води Світового океану.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Великі коливання глобальних і глобально-регіональних кларків у гідросфері харак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терні для штучно створених забруднювальних речовин (пестициди,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поліхлорбіфеніли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та ін.), високі концентрації яких, на відміну від сполук, що існують у природі, наприклад, важких металів, стосуються регіонів з найбільш інтенсивною промисловою і сільськогосподарською діяльністю.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Кларки живої речовини</w:t>
      </w: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Pr="00EF607C">
        <w:rPr>
          <w:rFonts w:ascii="Times New Roman" w:hAnsi="Times New Roman"/>
          <w:sz w:val="24"/>
          <w:szCs w:val="24"/>
          <w:lang w:val="uk-UA"/>
        </w:rPr>
        <w:t>Як і інші глобальні геохімічні константи, кларки живої ре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човини лише умовно характеризують середній хімічний склад організмів Землі.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Між складом живої речовини і земної кори загалом немає прямої пропорцій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ної залежності. У складі літосфери за масою переважають слабо рухомі елементи – кремній, залізо, алюміній, яких мало в живих організмах. Кисень, якого багато і в живих організмах, і в літосфері, міститься в них у різних формах: в організмах він разом з воднем утворює воду й органічні сполуки, а в літосфері він входить до скла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ду силікатів, оксидів, органогенних порід та інших сполук. Живі організми вибірково поглинають з довкілля тільки доступні їм рухомі форми елементів. Тому вони збага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чені так званими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біофілами–фосфором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сіркою, калієм, бором.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Як правило, використовують три основні методи вираження хімічного складу біоло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гічних об’єктів: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з розрахунку на живу (сиру) масу організму, на масу сухої органічної речовини і на золу, </w:t>
      </w:r>
      <w:r w:rsidRPr="00EF607C">
        <w:rPr>
          <w:rFonts w:ascii="Times New Roman" w:hAnsi="Times New Roman"/>
          <w:sz w:val="24"/>
          <w:szCs w:val="24"/>
          <w:lang w:val="uk-UA"/>
        </w:rPr>
        <w:t>тобто на кількість мінеральних речовин, що містяться в організмі. Кожний з цих способів розрахунку застосовується в різних цілях. За порівняння складу живої речовини і літосфери використовують, як правило, дані про вміст хімічних елемен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тів у золі. На глобальному рівні одні з найзагальніших параметрів, що характеризують специфіку хімічного складу біосфери, – кларки концентрації елементів, розраховані на сиру масу живої речовини, які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Перельман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назвав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біофі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льністю елементів. </w:t>
      </w:r>
      <w:r w:rsidRPr="00EF607C">
        <w:rPr>
          <w:rFonts w:ascii="Times New Roman" w:hAnsi="Times New Roman"/>
          <w:sz w:val="24"/>
          <w:szCs w:val="24"/>
          <w:lang w:val="uk-UA"/>
        </w:rPr>
        <w:t>Най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більшу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біофільність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мають вуглець (7800 КК), азот (160 КК) і водень (70 КК). Висока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біофільность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у сірки, фосфору, кальцію, калію, бору, брому, цинку, йоду, срібла.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Хімічний склад рослин залежить від двох головних чинників: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1.Ландшафтно-геохімічного (екологічного), який визначає геохімічну обстановку росту рослин (рівні вмісту елементів у живильному середовищі, рухомі, до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ступні для рослин форми знаходження).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2.Генетичного, що визначає біогеохімічну спеціалізацію окремих родин, родів і видів рослин.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i/>
          <w:sz w:val="24"/>
          <w:szCs w:val="24"/>
          <w:lang w:val="uk-UA"/>
        </w:rPr>
        <w:t>Кларки літосфери, гідросфери і живої речовини постійно уточнюют</w:t>
      </w:r>
      <w:r w:rsidRPr="00EF607C">
        <w:rPr>
          <w:rFonts w:ascii="Times New Roman" w:hAnsi="Times New Roman"/>
          <w:i/>
          <w:sz w:val="24"/>
          <w:szCs w:val="24"/>
          <w:lang w:val="uk-UA"/>
        </w:rPr>
        <w:t>ь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 і деталізують для окремих районів, типів гірських порід, класів вод і систематичних груп рослин.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Разом з перевагами (масовість,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зіставність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та ін.) метод кларків має низку недоліків, пе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редусім пов’язаних із зайвою узагальненістю даних, отриманих у результаті їхньої статистичної обробки, а найголовніше – відсутністю  цілісного підходу до таких складних систем, якими є ландшафти. Тому у здійсненні фонового геохімічного моніторингу дані, отримані за допомогою методу кларків, повинні поєднуватися з виокремленням і детальним вивченням ландшафтно-геохімічних систем і їхньої геохімічної структури.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Геохімічна структура ландшафту </w:t>
      </w:r>
      <w:r w:rsidRPr="00EF607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(R, </w:t>
      </w: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L-аналіз). </w:t>
      </w:r>
      <w:r w:rsidRPr="00EF607C">
        <w:rPr>
          <w:rFonts w:ascii="Times New Roman" w:hAnsi="Times New Roman"/>
          <w:sz w:val="24"/>
          <w:szCs w:val="24"/>
          <w:lang w:val="uk-UA"/>
        </w:rPr>
        <w:t>Різним ландшафтно-геохімічним си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стемам властиві свої зональні, провінційні і місцеві особливості. Тому для цілісної характеристики фонового стану елементарних і каскадних ландшафтно-геохіміч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них систем запропоновано поняття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фонова геохімічна структура, </w:t>
      </w:r>
      <w:r w:rsidRPr="00EF607C">
        <w:rPr>
          <w:rFonts w:ascii="Times New Roman" w:hAnsi="Times New Roman"/>
          <w:sz w:val="24"/>
          <w:szCs w:val="24"/>
          <w:lang w:val="uk-UA"/>
        </w:rPr>
        <w:t>під якою розумі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ють співвідношення між різними підсистемами ландшафту, виражене, наприклад, набором ландшафтно-геохімічних коефіцієнтів – радіальної  і латеральної міграції, біологічного поглинання та ін.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Фонова геохімічна структура складається з радіальної і латеральної структур, що ха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рактеризують відповідно вертикальну і горизонтальну (схил) диференціацію ланд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шафтів. Залежно від поєднання зональних і азональних чинників фонові території відрізняються певними радіальними і латеральними структурами. У межах однієї природної зони 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підзони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як правило, є кілька варіантів таких структур. Саме тому для ландшафтів і ґрунтів розрахунок глобальних кларків або кларків великих регіонів хоча </w:t>
      </w:r>
      <w:r w:rsidRPr="00EF607C">
        <w:rPr>
          <w:rFonts w:ascii="Times New Roman" w:hAnsi="Times New Roman"/>
          <w:sz w:val="24"/>
          <w:szCs w:val="24"/>
          <w:lang w:val="uk-UA"/>
        </w:rPr>
        <w:lastRenderedPageBreak/>
        <w:t>й має певне значення, але не відображає складної картини просторового роз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поділу хімічних елементів і сполук у цих системах. Таким чином, у рамках цього методичного підходу основного значення набуває не скільки рівень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вміста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елементу в ґрунтах, рослинах, водах (метод кларків), як типи перерозподілу і взаємозв’язку елементів між підсистемами і компонентами фонових ландшафтів.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Радіальна геохімічна структура ландшафту (R-аналіз). </w:t>
      </w:r>
      <w:r w:rsidRPr="00EF607C">
        <w:rPr>
          <w:rFonts w:ascii="Times New Roman" w:hAnsi="Times New Roman"/>
          <w:sz w:val="24"/>
          <w:szCs w:val="24"/>
          <w:lang w:val="uk-UA"/>
        </w:rPr>
        <w:t>Перший етап ландшафтно-геохімічного аналізу території – вивчення  геохімічної диференціації вертикального профілю різних елементарних ландшафтів.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Радіальна геохімічна структура ландшафту характеризується низкою геохімічних коефіцієнтів.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Так, для характеристики накопичення або винесення елементів у генетичних го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ризонтах ґрунтів щодо ґрунтоутворювальних порід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використовують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єнти радіальної диференціації R, </w:t>
      </w:r>
      <w:r w:rsidRPr="00EF607C">
        <w:rPr>
          <w:rFonts w:ascii="Times New Roman" w:hAnsi="Times New Roman"/>
          <w:sz w:val="24"/>
          <w:szCs w:val="24"/>
          <w:lang w:val="uk-UA"/>
        </w:rPr>
        <w:t>що є відношенням вмісту (валового або рухомого) хі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мічного елемента в тому або іншому генетичному горизонті ґрунту до його вмісту в ґрунтоутворювальній породі. У кожному горизонті профілю, як правило, є кілька груп елементів з різною радіальною диференціацією, наприклад, сильного накопичення (Л&gt;5), середнього накопичення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(R =            </w:t>
      </w:r>
      <w:r w:rsidRPr="00EF607C">
        <w:rPr>
          <w:rFonts w:ascii="Times New Roman" w:hAnsi="Times New Roman"/>
          <w:sz w:val="24"/>
          <w:szCs w:val="24"/>
          <w:lang w:val="uk-UA"/>
        </w:rPr>
        <w:t>2-5), винесення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(R &lt; </w:t>
      </w:r>
      <w:r w:rsidRPr="00EF607C">
        <w:rPr>
          <w:rFonts w:ascii="Times New Roman" w:hAnsi="Times New Roman"/>
          <w:sz w:val="24"/>
          <w:szCs w:val="24"/>
          <w:lang w:val="uk-UA"/>
        </w:rPr>
        <w:t>1) та ін. Ці групи або утворені ними ряди в першому наближенні відображають радіальну ґрунтово-гео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хімічну структуру елементарного ландшафту.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Інший важливий складник радіальної структури ландшафтів – взаємодія  в системах типу літосфера – рослинний  покрив, ґрунт – рослини, порода – ґрунт – рослини  та ін. Їх вивчення дає змогу встановити основні «фонові» типи зв’язків між живими організмами і довкіллям, що уможливлює визначення ступеня їхнього порушення в техногенних умовах.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Конкретний метод оцінки інтенсивності біологічного поглинання елементів живи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ми організмами, в основному рослинами, – зіставлення їхнього вмісту в золі рос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лин із вмістом у живильному середовищі – породах, ґрунтах, водах.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Запропонований Полиновим показник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Перельман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назвав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коефіцієнтом біологічного поглинання (Ах):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Ах=</w:t>
      </w:r>
      <w:proofErr w:type="spellEnd"/>
      <w:r w:rsidR="00EF607C" w:rsidRPr="00EF607C">
        <w:rPr>
          <w:rFonts w:ascii="Times New Roman" w:hAnsi="Times New Roman"/>
          <w:noProof/>
          <w:sz w:val="24"/>
          <w:szCs w:val="24"/>
          <w:vertAlign w:val="subscript"/>
          <w:lang w:val="uk-UA" w:eastAsia="ru-RU"/>
        </w:rPr>
        <w:pict>
          <v:shape id="Рисунок 1" o:spid="_x0000_i1034" type="#_x0000_t75" alt="http://bookwu.net/imgs/1414103919image007.gif" style="width:12pt;height:30.75pt;visibility:visible">
            <v:imagedata r:id="rId14" o:title=""/>
          </v:shape>
        </w:pict>
      </w:r>
      <w:r w:rsidRPr="00EF607C">
        <w:rPr>
          <w:rFonts w:ascii="Times New Roman" w:hAnsi="Times New Roman"/>
          <w:sz w:val="24"/>
          <w:szCs w:val="24"/>
          <w:lang w:val="uk-UA"/>
        </w:rPr>
        <w:t>,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де l – вміст  елемента в золі рослин;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п — </w:t>
      </w:r>
      <w:r w:rsidRPr="00EF607C">
        <w:rPr>
          <w:rFonts w:ascii="Times New Roman" w:hAnsi="Times New Roman"/>
          <w:sz w:val="24"/>
          <w:szCs w:val="24"/>
          <w:lang w:val="uk-UA"/>
        </w:rPr>
        <w:t>вміст цього ж елемента в ґрунтах.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У літературі трапляються різні позначення (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Кб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КБП) і модифікації цього коефіцієнта.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Співвідношення мінеральних форм елементів у рослинах і ґрунтах відображає ніби потенційну біогеохімічну рухливість елементів. Доступність елементів рослинам і ступінь використання ними рухомих форм елементів, що містяться в ґрунті, харак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теризує порівняння складу сухої речовини рослин і рухомих форм елементів (во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дорозчинних, сольових,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органомінеральних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), що витягуються з ґрунтів слабкими розчинниками. Це відношення називають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коефіцієнтом біологічної рухливості </w:t>
      </w:r>
      <w:r w:rsidRPr="00EF607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Вх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),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sz w:val="24"/>
          <w:szCs w:val="24"/>
          <w:lang w:val="uk-UA"/>
        </w:rPr>
        <w:t>який у більшості елементів, як правило,  набагато вищий, ніж Ах,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sz w:val="24"/>
          <w:szCs w:val="24"/>
          <w:lang w:val="uk-UA"/>
        </w:rPr>
        <w:t>розрахований для валового вмісту.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Окрім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біофільності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потенційної і актуальної біогеохімічної рухливості, що харак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теризуються коефіцієнтами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 xml:space="preserve">Ах і </w:t>
      </w:r>
      <w:proofErr w:type="spellStart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Вх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, є </w:t>
      </w:r>
      <w:r w:rsidRPr="00EF607C">
        <w:rPr>
          <w:rFonts w:ascii="Times New Roman" w:hAnsi="Times New Roman"/>
          <w:sz w:val="24"/>
          <w:szCs w:val="24"/>
          <w:lang w:val="uk-UA"/>
        </w:rPr>
        <w:t>низка інших загальних і приватних показ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ників. Наприклад,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Глазовська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запропонувала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 xml:space="preserve">коефіцієнт біогеохімічної </w:t>
      </w:r>
      <w:proofErr w:type="spellStart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активності KB –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sz w:val="24"/>
          <w:szCs w:val="24"/>
          <w:lang w:val="uk-UA"/>
        </w:rPr>
        <w:t>відношення  споживання елемента живою речовиною в рік до його винесення з іонним стоком з континентів в океан або з великих річкових басейнів;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коефіцієнт деструкційної активності Ка — </w:t>
      </w:r>
      <w:r w:rsidRPr="00EF607C">
        <w:rPr>
          <w:rFonts w:ascii="Times New Roman" w:hAnsi="Times New Roman"/>
          <w:sz w:val="24"/>
          <w:szCs w:val="24"/>
          <w:lang w:val="uk-UA"/>
        </w:rPr>
        <w:t>відношення надходження елемента в біосферу (ви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добуток, складування) до споживання рослинністю та ін.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Латеральна геохімічна структура (L – аналіз).</w:t>
      </w:r>
      <w:r w:rsidRPr="00EF607C">
        <w:rPr>
          <w:rFonts w:ascii="Times New Roman" w:hAnsi="Times New Roman"/>
          <w:sz w:val="24"/>
          <w:szCs w:val="24"/>
          <w:lang w:val="uk-UA"/>
        </w:rPr>
        <w:t> Для встановлення основних особли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востей просторової геохімічної структури (L-аналіз) території базовими є локальні каскадні системи — ландшафтно-геохімічні (ґрунтово-геохімічні)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катети – ряди ландшафтів або ґрунтів, розташованих на одному схилі.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Залежно від складності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літогенного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субстрату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ґрунто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во-геохімічні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катени діляться на монолітні і гетеролітні. 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Монолітні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розвинені в найменших водозбірних басейнах 1–2-го порядків. Тут геохімія долин практично повністю визначається міграцією речовин з автономних ландшафтів, вони називаються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автохтонними</w:t>
      </w:r>
      <w:r w:rsidRPr="00EF607C">
        <w:rPr>
          <w:rFonts w:ascii="Times New Roman" w:hAnsi="Times New Roman"/>
          <w:sz w:val="24"/>
          <w:szCs w:val="24"/>
          <w:lang w:val="uk-UA"/>
        </w:rPr>
        <w:t>,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sz w:val="24"/>
          <w:szCs w:val="24"/>
          <w:lang w:val="uk-UA"/>
        </w:rPr>
        <w:t>або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геохімічно-підлеглими катенами. </w:t>
      </w:r>
      <w:r w:rsidRPr="00EF607C">
        <w:rPr>
          <w:rFonts w:ascii="Times New Roman" w:hAnsi="Times New Roman"/>
          <w:sz w:val="24"/>
          <w:szCs w:val="24"/>
          <w:lang w:val="uk-UA"/>
        </w:rPr>
        <w:t>У каскадних системах високих порядків (великих рі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чок) всі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як правило,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гетеролітні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, в них надходить речовина з інших ландшафтів, вони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називаютьс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геохімічно слабо підпорядкованими,</w:t>
      </w:r>
      <w:proofErr w:type="spellStart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sz w:val="24"/>
          <w:szCs w:val="24"/>
          <w:lang w:val="uk-UA"/>
        </w:rPr>
        <w:t>або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алохто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 xml:space="preserve">нними </w:t>
      </w:r>
      <w:proofErr w:type="spellStart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катенами</w:t>
      </w:r>
      <w:proofErr w:type="spellEnd"/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У цих видах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геохімічні дослідження спрямовані на вирішення різних завдань. Монолітні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є зручними об’єктами для вивчення латеральної міграції елемен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тів у каскадних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ладшафтно-геохімічних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системах, що характеризуються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коефіцієн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softHyphen/>
        <w:t>том місцевої міграції </w:t>
      </w:r>
      <w:r w:rsidRPr="00EF607C">
        <w:rPr>
          <w:rFonts w:ascii="Times New Roman" w:hAnsi="Times New Roman"/>
          <w:sz w:val="24"/>
          <w:szCs w:val="24"/>
          <w:lang w:val="uk-UA"/>
        </w:rPr>
        <w:t>Км</w:t>
      </w: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(відношення вмісту елемента у ґрунтах підлеглих ландшаф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softHyphen/>
        <w:t xml:space="preserve">тів до його вмісту в ґрунтах і корі вивітрювання автономних 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lastRenderedPageBreak/>
        <w:t>ландшафтів). 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Тільки у монолітних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катенах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можливий розрахунок Км без поправки на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  літогеохіміч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ну неоднорідність. Тому сучасну міграцію і концентрацію елементів у ландшафтах до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цільно вивчати в районах з порівняно простою геологічною будовою, особливо з пухкими покривними відкладеннями однорідного літологічного складу. На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гетеролітному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субстраті міграція елементів маскується геохімічною специфікою ґрунто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утворювальних порід, і тому аналіз Км з позицій тільки латерального перенесення методично не виправданий. У цьому разі такі показники називають </w:t>
      </w:r>
      <w:r w:rsidRPr="00EF607C">
        <w:rPr>
          <w:rFonts w:ascii="Times New Roman" w:hAnsi="Times New Roman"/>
          <w:i/>
          <w:iCs/>
          <w:sz w:val="24"/>
          <w:szCs w:val="24"/>
          <w:lang w:val="uk-UA"/>
        </w:rPr>
        <w:t>коефіцієнтами латеральної диференціації або контрастності (L).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Так само, як радіальна геохімічна структура відображає характер взаємодії і спів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відношення між компонентами і блоками елементарних ландшафтів, латеральна структура характеризує відношення в геохімічно-зв’язаних каскадних системах різ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них рівнів (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катенах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водозбірних басейнах та ін.).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Аналіз радіальної і латеральної геохімічної структури ландшафтів є основним ме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тодом геохімії ландшафтів, що лежить в основі практично всіх фундаментальних і прикладних ландшафтно-геохімічних досліджень.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bCs/>
          <w:sz w:val="24"/>
          <w:szCs w:val="24"/>
          <w:lang w:val="uk-UA"/>
        </w:rPr>
        <w:t>Метод біогеохімічних циклів елементів. </w:t>
      </w:r>
      <w:r w:rsidRPr="00EF607C">
        <w:rPr>
          <w:rFonts w:ascii="Times New Roman" w:hAnsi="Times New Roman"/>
          <w:sz w:val="24"/>
          <w:szCs w:val="24"/>
          <w:lang w:val="uk-UA"/>
        </w:rPr>
        <w:t>Біогеохімічний підхід до аналізу живої речо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вини, заснований на ідеях В.Вернадського, полягає передусім у зіставленні хіміч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ного складу живих організмів зі складом інших природних систем – гірських   порід, ґрунтів, вод, атмосферного повітря. Це створює можливості для системного аналізу біологічного кругообігу хімічних елементів, біогеохімічних циклів у ландшафтах і біосфері загалом. Інший спосіб пізнання міграційних циклів елементів у природних системах – детальне  вивчення балансу хімічних елементів у системах різного рівня: від локального до глобального. Нині моделі кругообігу речовин краще розроблено для першого (елементарні ландшафти,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катени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) і останнього рівнів (біосфера).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Для елементарних ландшафтно-геохімічних систем моделі розробляють на основі інформації, яку отримують за стаціонарних досліджень. Моделі глобальних біогео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хімічних циклів елементів мають поки що орієнтовний характер.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І в тому, і в іншому разі набагато повніша інформація є про цикли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макроелемен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тів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— кисню, азоту, вуглецю, фосфору, сірки. Цикли мікроелементів, пестицидів та інших органічних речовин (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поліциклічних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ароматичних вуглеводів – ПАВ,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поліхлорбіфенілів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та ін.) вивчено ще слабо. У цілій низці випадків даних недо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статньо для опису повного міграційного циклу яких-небудь елементів і сполук у природній системі. Тоді важливе значення мають багаторічні або сезонні ряди спостережень за тими або іншими середовищами, які мають високу динамічність і варіабельність (повітря, вода).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Таким чином, можна вирізнити два напрями дослідження станів ландшафтів. Пер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ший з них користується ніби методом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кларка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>, але з урахуванням тимчасових змін параметрів. Цей методичний напрям загалом переважає зараз у здійсненні про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грами фонового геохімічного моніторингу в біосферних заповідниках і на станціях моніторингу. Виконано дуже великий обсяг вимірювань різних показників, у низці випадків виявлено їхні динамічні коливання залежно від природних і техногенних чинників. У цих дослідженнях, як правило, слабо враховують просторову диференці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ацію параметрів, механізми міграційних процесів і потоки речовин між блоками і компонентами ландшафту.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Другий напрям – це  аналіз фонового функціонування ландшафту на основі ви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 xml:space="preserve">вчення потоків і балансів речовини й енергії, біогеохімічних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кругообігів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елементів.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Основною сферою застосування методів геохімії нині стало вирішення проблем довкілля, зокрема виявлення кризових екологічних ситуацій через оцінку забруднення довкілля.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Еколого-геохімічні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методи використовують на всіх стадіях оцінки стану локальних і регіональних природно-антропогенних геосистем. На регіональному рівні такі оцінки містять такі блоки: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-оцінку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природного геохімічного фону регіону;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-аналіз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геохімічного впливу сільського господарства на природні геосистеми;</w:t>
      </w:r>
    </w:p>
    <w:p w:rsidR="006D33D1" w:rsidRPr="00EF607C" w:rsidRDefault="006D33D1" w:rsidP="00445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-оцінку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стану і ступеня забруднення промислових центрів, впливи гірничодо</w:t>
      </w:r>
      <w:r w:rsidRPr="00EF607C">
        <w:rPr>
          <w:rFonts w:ascii="Times New Roman" w:hAnsi="Times New Roman"/>
          <w:sz w:val="24"/>
          <w:szCs w:val="24"/>
          <w:lang w:val="uk-UA"/>
        </w:rPr>
        <w:softHyphen/>
        <w:t>бувного виробництва на довкілля;</w:t>
      </w:r>
    </w:p>
    <w:p w:rsidR="006D33D1" w:rsidRPr="00EF607C" w:rsidRDefault="006D33D1" w:rsidP="009172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-комплексне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картографування і районування території за ступенем забруднення на відповідь реакціям і стійкості природних геосистем до техногенних дій.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Головними напрямками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еколого-геохімічних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досліджень в Україні є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картування міських агломерацій і територій техногенних об'єктів та моніторингові дослідження забруднених середовищ довкілля. Такі роботи переважно виконуються в масштабі 1:50 000 і крупніше. 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Еколого-геохімічне</w:t>
      </w:r>
      <w:proofErr w:type="spellEnd"/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 картування міських агломерацій і територій техногенних об'єктів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Еколого-геохімічне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картування базується: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1) на дослідженні середовищ довгостроково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депонуючих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техногенне забруднення (ґрунти, донні відклади), 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lastRenderedPageBreak/>
        <w:t xml:space="preserve">2) на середовищах які тимчасово депонують забруднення (рослинність, сніговий покрив), а також на транспортуючих середовищах (поверхневі води інколи ґрунтові). 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Мета </w:t>
      </w:r>
      <w:proofErr w:type="spellStart"/>
      <w:r w:rsidRPr="00EF607C">
        <w:rPr>
          <w:rFonts w:ascii="Times New Roman" w:hAnsi="Times New Roman"/>
          <w:b/>
          <w:sz w:val="24"/>
          <w:szCs w:val="24"/>
          <w:lang w:val="uk-UA"/>
        </w:rPr>
        <w:t>еколого-геохімічного</w:t>
      </w:r>
      <w:proofErr w:type="spellEnd"/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 картування:</w:t>
      </w:r>
    </w:p>
    <w:p w:rsidR="006D33D1" w:rsidRPr="00EF607C" w:rsidRDefault="006D33D1" w:rsidP="004D36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уявити структуру та обсяг забруднення; </w:t>
      </w:r>
    </w:p>
    <w:p w:rsidR="006D33D1" w:rsidRPr="00EF607C" w:rsidRDefault="006D33D1" w:rsidP="004D36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виявити сучасне забруднення, котре достовірно фіксується у сніговому покриву та рослинності; </w:t>
      </w:r>
    </w:p>
    <w:p w:rsidR="006D33D1" w:rsidRPr="00EF607C" w:rsidRDefault="006D33D1" w:rsidP="004D36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виявити підприємства, котрі вимагають підвищеного контролю за роботою очисних споруд;</w:t>
      </w:r>
    </w:p>
    <w:p w:rsidR="006D33D1" w:rsidRPr="00EF607C" w:rsidRDefault="006D33D1" w:rsidP="004D36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встановити наявність природних геохімічних бар’єрів котрі обмежують розповсюдження техногенного забруднення; </w:t>
      </w:r>
    </w:p>
    <w:p w:rsidR="006D33D1" w:rsidRPr="00EF607C" w:rsidRDefault="006D33D1" w:rsidP="004D36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>надати прогноз розвитку забруднення у випадку припинення чи роботи тих чи інших підприємств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>Екологічні завдання картування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EF607C">
        <w:rPr>
          <w:rFonts w:ascii="Times New Roman" w:hAnsi="Times New Roman"/>
          <w:sz w:val="24"/>
          <w:szCs w:val="24"/>
          <w:lang w:val="uk-UA"/>
        </w:rPr>
        <w:t>визначення шляхів міграції забруднення в навколишнє середовище та оцінка його екологічної дії (вивчення снігового покриву, рослинності та поверхневих вод водостоків і водойм).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EF607C">
        <w:rPr>
          <w:rFonts w:ascii="Times New Roman" w:hAnsi="Times New Roman"/>
          <w:sz w:val="24"/>
          <w:szCs w:val="24"/>
          <w:lang w:val="uk-UA"/>
        </w:rPr>
        <w:t xml:space="preserve"> визначення просторових меж, складу та інтенсивності сформованого забруднення в поверхневих та донних відкладах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607C">
        <w:rPr>
          <w:rFonts w:ascii="Times New Roman" w:hAnsi="Times New Roman"/>
          <w:sz w:val="24"/>
          <w:szCs w:val="24"/>
          <w:lang w:val="uk-UA"/>
        </w:rPr>
        <w:t xml:space="preserve">Але не завжди можливо розрізнити забруднення за його екологічною дією (пряма чи віддалена) на населення та біоту, і оцінити, які гігієнічні та </w:t>
      </w:r>
      <w:proofErr w:type="spellStart"/>
      <w:r w:rsidRPr="00EF607C">
        <w:rPr>
          <w:rFonts w:ascii="Times New Roman" w:hAnsi="Times New Roman"/>
          <w:sz w:val="24"/>
          <w:szCs w:val="24"/>
          <w:lang w:val="uk-UA"/>
        </w:rPr>
        <w:t>медико-біологічні</w:t>
      </w:r>
      <w:proofErr w:type="spellEnd"/>
      <w:r w:rsidRPr="00EF607C">
        <w:rPr>
          <w:rFonts w:ascii="Times New Roman" w:hAnsi="Times New Roman"/>
          <w:sz w:val="24"/>
          <w:szCs w:val="24"/>
          <w:lang w:val="uk-UA"/>
        </w:rPr>
        <w:t xml:space="preserve"> наслідки може спричинити це забруднення. </w:t>
      </w:r>
    </w:p>
    <w:p w:rsidR="006D33D1" w:rsidRPr="00EF607C" w:rsidRDefault="006D33D1" w:rsidP="00A66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D33D1" w:rsidRPr="00EF607C" w:rsidSect="00515F8B">
      <w:headerReference w:type="default" r:id="rId15"/>
      <w:footerReference w:type="default" r:id="rId16"/>
      <w:pgSz w:w="11906" w:h="16838"/>
      <w:pgMar w:top="540" w:right="566" w:bottom="360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D1" w:rsidRDefault="006D33D1" w:rsidP="00B85567">
      <w:pPr>
        <w:spacing w:after="0" w:line="240" w:lineRule="auto"/>
      </w:pPr>
      <w:r>
        <w:separator/>
      </w:r>
    </w:p>
  </w:endnote>
  <w:endnote w:type="continuationSeparator" w:id="0">
    <w:p w:rsidR="006D33D1" w:rsidRDefault="006D33D1" w:rsidP="00B8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D1" w:rsidRDefault="00EF607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D33D1" w:rsidRPr="005B6C67" w:rsidRDefault="006D33D1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D1" w:rsidRDefault="006D33D1" w:rsidP="00B85567">
      <w:pPr>
        <w:spacing w:after="0" w:line="240" w:lineRule="auto"/>
      </w:pPr>
      <w:r>
        <w:separator/>
      </w:r>
    </w:p>
  </w:footnote>
  <w:footnote w:type="continuationSeparator" w:id="0">
    <w:p w:rsidR="006D33D1" w:rsidRDefault="006D33D1" w:rsidP="00B8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D1" w:rsidRDefault="006D33D1" w:rsidP="00B85567">
    <w:pPr>
      <w:pStyle w:val="a3"/>
      <w:tabs>
        <w:tab w:val="clear" w:pos="4677"/>
        <w:tab w:val="clear" w:pos="9355"/>
        <w:tab w:val="center" w:pos="3402"/>
        <w:tab w:val="right" w:pos="10632"/>
      </w:tabs>
      <w:jc w:val="right"/>
      <w:rPr>
        <w:rFonts w:ascii="Times New Roman" w:hAnsi="Times New Roman"/>
        <w:lang w:val="uk-UA"/>
      </w:rPr>
    </w:pPr>
  </w:p>
  <w:p w:rsidR="006D33D1" w:rsidRPr="00B85567" w:rsidRDefault="006D33D1" w:rsidP="00B85567">
    <w:pPr>
      <w:pStyle w:val="a3"/>
      <w:tabs>
        <w:tab w:val="clear" w:pos="4677"/>
        <w:tab w:val="clear" w:pos="9355"/>
        <w:tab w:val="center" w:pos="3402"/>
        <w:tab w:val="right" w:pos="10632"/>
      </w:tabs>
      <w:jc w:val="right"/>
      <w:rPr>
        <w:rFonts w:ascii="Times New Roman" w:hAnsi="Times New Roman"/>
        <w:lang w:val="uk-UA"/>
      </w:rPr>
    </w:pPr>
    <w:r w:rsidRPr="00B85567">
      <w:rPr>
        <w:rFonts w:ascii="Times New Roman" w:hAnsi="Times New Roman"/>
        <w:lang w:val="uk-UA"/>
      </w:rPr>
      <w:t xml:space="preserve">Методи </w:t>
    </w:r>
    <w:proofErr w:type="spellStart"/>
    <w:r w:rsidRPr="00B85567">
      <w:rPr>
        <w:rFonts w:ascii="Times New Roman" w:hAnsi="Times New Roman"/>
        <w:lang w:val="uk-UA"/>
      </w:rPr>
      <w:t>еколого-геологічних</w:t>
    </w:r>
    <w:proofErr w:type="spellEnd"/>
    <w:r w:rsidRPr="00B85567">
      <w:rPr>
        <w:rFonts w:ascii="Times New Roman" w:hAnsi="Times New Roman"/>
        <w:lang w:val="uk-UA"/>
      </w:rPr>
      <w:t xml:space="preserve"> досліджень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8EB"/>
    <w:multiLevelType w:val="hybridMultilevel"/>
    <w:tmpl w:val="A58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34D81"/>
    <w:multiLevelType w:val="hybridMultilevel"/>
    <w:tmpl w:val="D28011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1571809"/>
    <w:multiLevelType w:val="hybridMultilevel"/>
    <w:tmpl w:val="B2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33BA6"/>
    <w:multiLevelType w:val="hybridMultilevel"/>
    <w:tmpl w:val="8084D5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73B0B30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8F13239"/>
    <w:multiLevelType w:val="hybridMultilevel"/>
    <w:tmpl w:val="DE4E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67"/>
    <w:rsid w:val="002B26CA"/>
    <w:rsid w:val="0034448C"/>
    <w:rsid w:val="003B48BC"/>
    <w:rsid w:val="00445057"/>
    <w:rsid w:val="004D3618"/>
    <w:rsid w:val="00515F8B"/>
    <w:rsid w:val="005A064D"/>
    <w:rsid w:val="005B6C67"/>
    <w:rsid w:val="006B4DBF"/>
    <w:rsid w:val="006D33D1"/>
    <w:rsid w:val="006E0769"/>
    <w:rsid w:val="00917274"/>
    <w:rsid w:val="009F4F81"/>
    <w:rsid w:val="00A660A1"/>
    <w:rsid w:val="00B85567"/>
    <w:rsid w:val="00ED5F9D"/>
    <w:rsid w:val="00EF607C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567"/>
    <w:rPr>
      <w:rFonts w:cs="Times New Roman"/>
    </w:rPr>
  </w:style>
  <w:style w:type="paragraph" w:styleId="a5">
    <w:name w:val="footer"/>
    <w:basedOn w:val="a"/>
    <w:link w:val="a6"/>
    <w:uiPriority w:val="99"/>
    <w:rsid w:val="00B8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567"/>
    <w:rPr>
      <w:rFonts w:cs="Times New Roman"/>
    </w:rPr>
  </w:style>
  <w:style w:type="paragraph" w:styleId="a7">
    <w:name w:val="List Paragraph"/>
    <w:basedOn w:val="a"/>
    <w:uiPriority w:val="99"/>
    <w:qFormat/>
    <w:rsid w:val="004D36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12161</Words>
  <Characters>6933</Characters>
  <Application>Microsoft Office Word</Application>
  <DocSecurity>0</DocSecurity>
  <Lines>57</Lines>
  <Paragraphs>38</Paragraphs>
  <ScaleCrop>false</ScaleCrop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IGOR</cp:lastModifiedBy>
  <cp:revision>6</cp:revision>
  <cp:lastPrinted>2019-04-25T11:35:00Z</cp:lastPrinted>
  <dcterms:created xsi:type="dcterms:W3CDTF">2019-04-24T17:26:00Z</dcterms:created>
  <dcterms:modified xsi:type="dcterms:W3CDTF">2020-05-11T14:14:00Z</dcterms:modified>
</cp:coreProperties>
</file>