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Default="00EE4243"/>
    <w:p w:rsid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0226AA" w:rsidRPr="00993B5C" w:rsidRDefault="000226AA" w:rsidP="000226AA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DA07D6" w:rsidRPr="00BC0B1C" w:rsidRDefault="00DA07D6" w:rsidP="000226A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0226AA" w:rsidRPr="00DA07D6" w:rsidRDefault="00DA07D6" w:rsidP="00022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A07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Сучасні теорії процесів </w:t>
      </w:r>
      <w:proofErr w:type="spellStart"/>
      <w:r w:rsidRPr="00DA07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рудогенезу</w:t>
      </w:r>
      <w:proofErr w:type="spellEnd"/>
      <w:r w:rsidRPr="00DA07D6"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  <w:t xml:space="preserve"> </w:t>
      </w:r>
      <w:r w:rsidRPr="00DA07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та генетична систематика родовищ корисних копалин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4E7D" w:rsidRPr="00544E7D" w:rsidRDefault="00544E7D" w:rsidP="0054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геологія металевих і неметалевих корисних копалин</w:t>
      </w:r>
    </w:p>
    <w:p w:rsidR="00544E7D" w:rsidRPr="00BC0B1C" w:rsidRDefault="00544E7D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магістр (спеціаліст) 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D8F" w:rsidRPr="00AA0D33" w:rsidRDefault="00932D8F" w:rsidP="00932D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544E7D" w:rsidRDefault="000226AA" w:rsidP="00AA0D3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4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(Витяг з робочої програми навчальної дисципліни «</w:t>
      </w:r>
      <w:r w:rsidR="00544E7D" w:rsidRPr="00544E7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Сучасні теорії процесів </w:t>
      </w:r>
      <w:proofErr w:type="spellStart"/>
      <w:r w:rsidR="00544E7D" w:rsidRPr="00544E7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рудогенезу</w:t>
      </w:r>
      <w:proofErr w:type="spellEnd"/>
      <w:r w:rsidR="00544E7D" w:rsidRPr="00BC0B1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544E7D" w:rsidRPr="00544E7D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та генетична систематика родовищ корисних копалин</w:t>
      </w:r>
      <w:r w:rsidR="003419D7" w:rsidRPr="00544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44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0226AA" w:rsidRPr="00993B5C" w:rsidTr="000F08B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226AA" w:rsidRPr="00993B5C" w:rsidTr="000F08B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0226AA" w:rsidRPr="00993B5C" w:rsidTr="000F08B9">
        <w:trPr>
          <w:trHeight w:val="409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0226AA" w:rsidRPr="00993B5C" w:rsidRDefault="000226AA" w:rsidP="000F08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Дисципліна вибору аспіранта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6AA" w:rsidRPr="00993B5C" w:rsidTr="000F08B9">
        <w:trPr>
          <w:cantSplit/>
          <w:trHeight w:val="170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0226AA" w:rsidRPr="00993B5C" w:rsidTr="000F08B9">
        <w:trPr>
          <w:cantSplit/>
          <w:trHeight w:val="207"/>
        </w:trPr>
        <w:tc>
          <w:tcPr>
            <w:tcW w:w="2896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BC0B1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</w:p>
          <w:p w:rsidR="00BC0B1C" w:rsidRPr="00BC0B1C" w:rsidRDefault="00BC0B1C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геологія металевих і неметалевих корисних копалин</w:t>
            </w:r>
            <w:r w:rsidRPr="00BC0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;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0F08B9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0226AA" w:rsidRPr="00993B5C" w:rsidTr="000F08B9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0F08B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0226AA" w:rsidRPr="00993B5C" w:rsidTr="000F08B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0226AA" w:rsidRPr="00993B5C" w:rsidTr="000F08B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0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0B1C" w:rsidRDefault="00BC0B1C" w:rsidP="00BC0B1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формування необхідних теоретичних знань про сукупність природних геологічних процесів, що призводять до утворення рудних концентрацій, і практичних навиків, які дозволять класифікувати виявлені рудні об’єкти на ранніх етапах їх вивчення для зменшення витрат при оцінці їх масштабів.</w:t>
      </w:r>
      <w:r w:rsidRPr="00BC0B1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Аналіз відомостей про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сучасн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аналітичн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 експериментальн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і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метод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які дозволяють одержувати </w:t>
      </w:r>
      <w:r w:rsidRPr="00904783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якісні і кількісні характеристики </w:t>
      </w:r>
      <w:r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речовинного складу руд та </w:t>
      </w:r>
      <w:proofErr w:type="spellStart"/>
      <w:r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>вміщуючих</w:t>
      </w:r>
      <w:proofErr w:type="spellEnd"/>
      <w:r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 порід для </w:t>
      </w:r>
      <w:r w:rsidRPr="00904783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діагностики і виявлення їх відмін в різних генетичних утвореннях, </w:t>
      </w:r>
      <w:r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і формування на їх основі прогнозних і пошукових ознак. </w:t>
      </w:r>
    </w:p>
    <w:p w:rsidR="00BC0B1C" w:rsidRPr="00904783" w:rsidRDefault="00BC0B1C" w:rsidP="00BC0B1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теоретичні основи виникнення концентрацій корисних копалин, основні характеристики об’єктів за їх генетичними ознаками та шляхами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їх практичного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використання.</w:t>
      </w:r>
    </w:p>
    <w:p w:rsidR="00BC0B1C" w:rsidRPr="00BC0B1C" w:rsidRDefault="00BC0B1C" w:rsidP="000226A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916D2" w:rsidRPr="006B64D0" w:rsidRDefault="00B916D2" w:rsidP="00B916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B916D2" w:rsidRPr="00904783" w:rsidRDefault="00B916D2" w:rsidP="00B916D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3453B0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</w:t>
      </w:r>
      <w:r w:rsidR="00B916D2"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теоретичних основ </w:t>
      </w:r>
      <w:r w:rsidR="00B916D2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процесів утворення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 w:rsidR="00B916D2"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засвоєння провідних методів дослідження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їх мінерального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складу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16D2">
        <w:rPr>
          <w:rFonts w:ascii="Times New Roman" w:eastAsia="Calibri" w:hAnsi="Times New Roman" w:cs="Times New Roman"/>
          <w:bCs/>
          <w:sz w:val="24"/>
          <w:szCs w:val="24"/>
        </w:rPr>
        <w:t>різних гене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тичних типах </w:t>
      </w:r>
      <w:r w:rsidR="00B916D2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уд</w:t>
      </w:r>
      <w:r w:rsidR="00B916D2"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отриманих результатів вивчення структурно-текстурних особливостей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різного генезису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виділення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>продуктивних мін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еральних асоціацій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парагенетични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співвідношен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>нями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окреми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мінерал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ів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чи їх індивід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>ів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Набуття навичок проведення аналізу виділення різночасових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рудних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асоціацій на фоні загального процесу формування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руди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>і зміни властивостей мінералів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 в різних генетичних утвореннях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порівняльного аналізу результатів польових і лабораторних досліджень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>
        <w:rPr>
          <w:rFonts w:ascii="Times New Roman" w:eastAsia="Calibri" w:hAnsi="Times New Roman" w:cs="Times New Roman"/>
          <w:bCs/>
          <w:sz w:val="24"/>
          <w:szCs w:val="24"/>
        </w:rPr>
        <w:t>різного складу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 і окремих мінералів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 в них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Надбання знань для аналізу процесу формування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за структурно-текстурними ознаками, компонентн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им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склад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, значення</w:t>
      </w:r>
      <w:r>
        <w:rPr>
          <w:rFonts w:ascii="Times New Roman" w:eastAsia="Calibri" w:hAnsi="Times New Roman" w:cs="Times New Roman"/>
          <w:bCs/>
          <w:sz w:val="24"/>
          <w:szCs w:val="24"/>
        </w:rPr>
        <w:t>ми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фізичних властивостей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утворення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 руд і формування родовищ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формування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окремих генерацій 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рудних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і стадійності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породи для визначення її потенційної рудоносності</w:t>
      </w:r>
      <w:r w:rsidR="003453B0">
        <w:rPr>
          <w:rFonts w:ascii="Times New Roman" w:eastAsia="Calibri" w:hAnsi="Times New Roman" w:cs="Times New Roman"/>
          <w:bCs/>
          <w:sz w:val="24"/>
          <w:szCs w:val="24"/>
        </w:rPr>
        <w:t xml:space="preserve"> і формування прогнозних, пошукових і оцінювальних критеріїв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24922" w:rsidRDefault="00524922" w:rsidP="000226A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04783" w:rsidRDefault="000226AA" w:rsidP="000226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B916D2" w:rsidRPr="00993B5C" w:rsidRDefault="00B916D2" w:rsidP="0002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і навички польових геологічних, геофізичних, геохімічних, гідрогеологічних, нафтогазових і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еколого-геологічних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робіт при вирішенні виробничих завдань; 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готовність до роботи на сучасних польових і лабораторних геологічних, геофізичних, петрографічних і геохімічних приладах і устаткуванні.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AC0218" w:rsidRPr="00AC0218" w:rsidRDefault="00AC0218" w:rsidP="007756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77562D" w:rsidRPr="0077562D" w:rsidRDefault="0077562D" w:rsidP="007756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BC0B1C" w:rsidRPr="00BC0B1C" w:rsidRDefault="00BC0B1C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C0218" w:rsidRPr="00904783" w:rsidRDefault="00B916D2" w:rsidP="00316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Вступ.</w:t>
      </w:r>
      <w:r w:rsidR="001A2F3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87BF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Історичний аналіз уявлень про природу рудних концентрацій і роль середовища в їх формуванні. </w:t>
      </w:r>
    </w:p>
    <w:p w:rsidR="001A2F37" w:rsidRDefault="001A2F37" w:rsidP="001A2F3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F1" w:rsidRDefault="00C87BF1" w:rsidP="00C8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A2F37" w:rsidRPr="00904783" w:rsidRDefault="00C87BF1" w:rsidP="001A2F3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Еволюція т</w:t>
      </w:r>
      <w:r w:rsidR="001A2F37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A2F37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розуміння процесів генезису руд та визначення механізмів утворення рудних концентрацій. </w:t>
      </w:r>
    </w:p>
    <w:p w:rsidR="006D6BEF" w:rsidRPr="00993B5C" w:rsidRDefault="006D6BEF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87BF1" w:rsidRPr="00904783" w:rsidRDefault="00C87BF1" w:rsidP="00C87BF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Ендогенні та екзогенні фактори формування родовищ корисних копалин. </w:t>
      </w:r>
    </w:p>
    <w:p w:rsidR="0042248F" w:rsidRDefault="0042248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C87BF1" w:rsidRPr="00904783" w:rsidRDefault="00C87BF1" w:rsidP="00C87B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Джерела рудних компонентів в рудах різного походження. </w:t>
      </w: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A4" w:rsidRDefault="00F045A4" w:rsidP="00F0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1C66" w:rsidRPr="00F045A4" w:rsidRDefault="00FC1C66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 формування екзогенних руд</w:t>
      </w:r>
      <w:r w:rsidR="00F045A4" w:rsidRPr="00F0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1C66" w:rsidRDefault="00FC1C66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5A4" w:rsidRDefault="00F045A4" w:rsidP="00F0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7BF1" w:rsidRPr="00904783" w:rsidRDefault="00C87BF1" w:rsidP="00C87B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Роль флюїдів у створенні та перерозподілі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рудних 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концентрацій. 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9EE" w:rsidRPr="00904783" w:rsidRDefault="008839EE" w:rsidP="008839E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Взаємозв’язок рудних об’єктів з магматичними осередками і роль глибини їх формування. </w:t>
      </w:r>
    </w:p>
    <w:p w:rsidR="000D5B6E" w:rsidRPr="00993B5C" w:rsidRDefault="000D5B6E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3A0" w:rsidRPr="003C43A0" w:rsidRDefault="003C43A0" w:rsidP="008839E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C43A0">
        <w:rPr>
          <w:rFonts w:ascii="Times New Roman" w:hAnsi="Times New Roman" w:cs="Times New Roman"/>
          <w:sz w:val="24"/>
          <w:szCs w:val="24"/>
          <w:lang w:eastAsia="ru-RU"/>
        </w:rPr>
        <w:t>Органогенне та глибинне походження вуглеводневих скупчень.</w:t>
      </w:r>
    </w:p>
    <w:p w:rsidR="00B916D2" w:rsidRPr="00993B5C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3A0" w:rsidRDefault="00E4319D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Значення </w:t>
      </w:r>
      <w:r w:rsidR="00E33D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вихідного складу </w:t>
      </w:r>
      <w:r w:rsidRPr="00E43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порід, де розвивається різнотипна </w:t>
      </w:r>
      <w:r w:rsidR="00F04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ендогенна </w:t>
      </w:r>
      <w:r w:rsidRPr="00E43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мінералізація. </w:t>
      </w:r>
    </w:p>
    <w:p w:rsidR="003C43A0" w:rsidRDefault="003C43A0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5A4" w:rsidRDefault="00F045A4" w:rsidP="00F0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1C66" w:rsidRDefault="00FC1C66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Роль регіонального метаморфізму у створенні рудних концентрацій. </w:t>
      </w:r>
    </w:p>
    <w:p w:rsidR="003C43A0" w:rsidRPr="00993B5C" w:rsidRDefault="003C43A0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0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839EE" w:rsidRPr="00904783" w:rsidRDefault="008839EE" w:rsidP="008839E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Металогенічні епохи та залежність видового складу родовищ від </w:t>
      </w: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геоструктурних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елементів земної кори. </w:t>
      </w:r>
      <w:r w:rsidR="00E4319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Металогенічні побудови. </w:t>
      </w:r>
    </w:p>
    <w:p w:rsidR="008839EE" w:rsidRDefault="008839EE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F0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25718" w:rsidRPr="003C43A0" w:rsidRDefault="003C43A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A0">
        <w:rPr>
          <w:rFonts w:ascii="Times New Roman" w:eastAsia="MS Mincho" w:hAnsi="Times New Roman" w:cs="Times New Roman"/>
          <w:sz w:val="24"/>
          <w:szCs w:val="24"/>
          <w:lang w:eastAsia="ja-JP"/>
        </w:rPr>
        <w:t>Сучасні методи визначення параметрів формування рудних концентрацій</w:t>
      </w:r>
    </w:p>
    <w:p w:rsidR="003C43A0" w:rsidRPr="00993B5C" w:rsidRDefault="003C43A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F0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84B95" w:rsidRDefault="004D4DFE" w:rsidP="004272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Термодинамічне моделювання процесів утворення</w:t>
      </w:r>
      <w:r w:rsidR="00F045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руд</w:t>
      </w:r>
    </w:p>
    <w:p w:rsidR="00A84B95" w:rsidRDefault="00A84B95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</w:p>
    <w:p w:rsidR="00EC4FF8" w:rsidRDefault="005659BC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Проблеми походження руд «екзотичного» складу та унікальних за запасами родовищ. </w:t>
      </w:r>
    </w:p>
    <w:p w:rsidR="005659BC" w:rsidRPr="00993B5C" w:rsidRDefault="005659BC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</w:p>
    <w:p w:rsidR="00E4319D" w:rsidRPr="00904783" w:rsidRDefault="00E4319D" w:rsidP="00E431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Сучасний генетичний поділ родовищ корисних копалин в залежності від типу рудоносних магматичних комплексів, структури</w:t>
      </w:r>
      <w:r w:rsidR="00E52A6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температур і тисків.</w:t>
      </w:r>
      <w:r w:rsidR="00FC1C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E52A61" w:rsidRDefault="00E52A61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</w:p>
    <w:p w:rsidR="004D4DFE" w:rsidRPr="00904783" w:rsidRDefault="004D4DFE" w:rsidP="000D5B6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Особливості використання </w:t>
      </w:r>
      <w:r w:rsidR="00FC1C66">
        <w:rPr>
          <w:rFonts w:ascii="Times New Roman" w:eastAsia="MS Mincho" w:hAnsi="Times New Roman" w:cs="Times New Roman"/>
          <w:sz w:val="24"/>
          <w:szCs w:val="24"/>
          <w:lang w:eastAsia="ja-JP"/>
        </w:rPr>
        <w:t>генетичних моделей формування родовищ для вирішення прикладних задач</w:t>
      </w:r>
      <w:r w:rsidR="000D5B6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B916D2" w:rsidRPr="00B916D2" w:rsidRDefault="00B916D2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Календарний_план_лабораторних"/>
      <w:bookmarkEnd w:id="0"/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B916D2" w:rsidRPr="00B916D2" w:rsidTr="000F08B9">
        <w:tc>
          <w:tcPr>
            <w:tcW w:w="7989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916D2" w:rsidRPr="00B916D2" w:rsidTr="000F08B9">
        <w:tc>
          <w:tcPr>
            <w:tcW w:w="9855" w:type="dxa"/>
            <w:gridSpan w:val="2"/>
          </w:tcPr>
          <w:p w:rsidR="00B916D2" w:rsidRPr="00B916D2" w:rsidRDefault="00B916D2" w:rsidP="00B916D2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916D2" w:rsidRPr="00B916D2" w:rsidTr="000F08B9">
        <w:tc>
          <w:tcPr>
            <w:tcW w:w="7989" w:type="dxa"/>
          </w:tcPr>
          <w:p w:rsidR="00763175" w:rsidRPr="00B916D2" w:rsidRDefault="00B916D2" w:rsidP="003B7D4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B916D2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B916D2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763175" w:rsidRPr="003B7D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Історичний аналіз уявлень про природу рудних концентрацій і роль середовища в їх формуванні. </w:t>
            </w:r>
            <w:proofErr w:type="gramStart"/>
            <w:r w:rsidR="003B7D4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3B7D4C">
              <w:rPr>
                <w:sz w:val="24"/>
                <w:szCs w:val="24"/>
                <w:lang w:eastAsia="ru-RU"/>
              </w:rPr>
              <w:t>ізнавальне значення вивчення давніх гірничих розробок. Перші уявлення про природу утворення руд на основі глибинного тепла і водного середовища: «плутоністи» і «</w:t>
            </w:r>
            <w:proofErr w:type="spellStart"/>
            <w:r w:rsidR="003B7D4C">
              <w:rPr>
                <w:sz w:val="24"/>
                <w:szCs w:val="24"/>
                <w:lang w:eastAsia="ru-RU"/>
              </w:rPr>
              <w:t>нептуністи</w:t>
            </w:r>
            <w:proofErr w:type="spellEnd"/>
            <w:r w:rsidR="003B7D4C">
              <w:rPr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A175D7" w:rsidRPr="00B916D2" w:rsidRDefault="00B916D2" w:rsidP="00203E8E">
            <w:pPr>
              <w:jc w:val="both"/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2</w:t>
            </w:r>
            <w:r w:rsidRPr="00B916D2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763175" w:rsidRPr="009379C9">
              <w:rPr>
                <w:b/>
                <w:sz w:val="24"/>
                <w:szCs w:val="24"/>
                <w:lang w:eastAsia="ru-RU"/>
              </w:rPr>
              <w:t>Еволюція теоретичних основ розуміння процесів генезису руд та визначення механізмів утворення рудних концентрацій</w:t>
            </w:r>
            <w:r w:rsidR="00763175"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9379C9" w:rsidRPr="00203E8E">
              <w:rPr>
                <w:sz w:val="24"/>
                <w:szCs w:val="24"/>
                <w:lang w:eastAsia="ru-RU"/>
              </w:rPr>
              <w:t xml:space="preserve">Емпіричні узагальнення </w:t>
            </w:r>
            <w:r w:rsidR="00203E8E" w:rsidRPr="00203E8E">
              <w:rPr>
                <w:sz w:val="24"/>
                <w:szCs w:val="24"/>
                <w:lang w:eastAsia="ru-RU"/>
              </w:rPr>
              <w:t xml:space="preserve">про форму рудних тіл , склад руд і причину їх виникнення за результатами спостереження </w:t>
            </w:r>
            <w:r w:rsidR="00203E8E">
              <w:rPr>
                <w:sz w:val="24"/>
                <w:szCs w:val="24"/>
                <w:lang w:eastAsia="ru-RU"/>
              </w:rPr>
              <w:t xml:space="preserve">в гірничих виробках Саксонії (олов’яні руди), Паміру (благородна шпінель), Південної Африки (перші знахідки алмазів). Приклади сучасного наукового прогнозу, пошуків і відкриття родовищ: мідне родовище </w:t>
            </w:r>
            <w:proofErr w:type="spellStart"/>
            <w:r w:rsidR="00203E8E">
              <w:rPr>
                <w:sz w:val="24"/>
                <w:szCs w:val="24"/>
                <w:lang w:eastAsia="ru-RU"/>
              </w:rPr>
              <w:t>Олімпік</w:t>
            </w:r>
            <w:proofErr w:type="spellEnd"/>
            <w:r w:rsidR="00203E8E">
              <w:rPr>
                <w:sz w:val="24"/>
                <w:szCs w:val="24"/>
                <w:lang w:eastAsia="ru-RU"/>
              </w:rPr>
              <w:t xml:space="preserve"> Дам (Австралія), молібденове родовище </w:t>
            </w:r>
            <w:proofErr w:type="spellStart"/>
            <w:r w:rsidR="00203E8E">
              <w:rPr>
                <w:sz w:val="24"/>
                <w:szCs w:val="24"/>
                <w:lang w:eastAsia="ru-RU"/>
              </w:rPr>
              <w:t>Жарчиха</w:t>
            </w:r>
            <w:proofErr w:type="spellEnd"/>
            <w:r w:rsidR="00203E8E">
              <w:rPr>
                <w:sz w:val="24"/>
                <w:szCs w:val="24"/>
                <w:lang w:eastAsia="ru-RU"/>
              </w:rPr>
              <w:t xml:space="preserve"> (Бурятія) тощо.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763175" w:rsidRPr="00B916D2" w:rsidRDefault="00B916D2" w:rsidP="00203E8E">
            <w:pPr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3.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763175" w:rsidRPr="00203E8E">
              <w:rPr>
                <w:b/>
                <w:sz w:val="24"/>
                <w:szCs w:val="24"/>
                <w:lang w:eastAsia="ru-RU"/>
              </w:rPr>
              <w:t xml:space="preserve">Ендогенні та екзогенні фактори формування родовищ </w:t>
            </w:r>
            <w:r w:rsidR="00763175" w:rsidRPr="00203E8E">
              <w:rPr>
                <w:b/>
                <w:sz w:val="24"/>
                <w:szCs w:val="24"/>
                <w:lang w:eastAsia="ru-RU"/>
              </w:rPr>
              <w:lastRenderedPageBreak/>
              <w:t xml:space="preserve">корисних копалин. </w:t>
            </w:r>
            <w:r w:rsidR="00203E8E">
              <w:rPr>
                <w:rFonts w:eastAsia="MS Mincho"/>
                <w:sz w:val="24"/>
                <w:szCs w:val="24"/>
                <w:lang w:eastAsia="ja-JP"/>
              </w:rPr>
              <w:t xml:space="preserve">Поняття про концентрацію і розсіювання рудних утворень. Ендогенні та екзогенні чинники концентрації первинних рудних компонентів.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8A50FD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="00CE310D" w:rsidRPr="00203E8E">
              <w:rPr>
                <w:rFonts w:eastAsia="MS Mincho"/>
                <w:b/>
                <w:sz w:val="24"/>
                <w:szCs w:val="24"/>
                <w:lang w:eastAsia="ja-JP"/>
              </w:rPr>
              <w:t>Джерела рудних компонентів в р</w:t>
            </w:r>
            <w:r w:rsidR="00A20ED9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одовищах </w:t>
            </w:r>
            <w:r w:rsidR="00CE310D" w:rsidRPr="00203E8E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різного походження. </w:t>
            </w:r>
            <w:r w:rsidR="00A20ED9">
              <w:rPr>
                <w:sz w:val="24"/>
                <w:szCs w:val="24"/>
                <w:lang w:eastAsia="ru-RU"/>
              </w:rPr>
              <w:t xml:space="preserve">Глибинні первинні джерела рудних компонентів. </w:t>
            </w:r>
            <w:r w:rsidR="008A50FD">
              <w:rPr>
                <w:sz w:val="24"/>
                <w:szCs w:val="24"/>
                <w:lang w:eastAsia="ru-RU"/>
              </w:rPr>
              <w:t xml:space="preserve">Наявність підвищених вмістів певних елементів, сприятливе середовище для їх мобілізації, переносу та концентрації у формі рудних скупчень. Сучасні аналітичні методи визначення джерела рудних компонентів та умов їх концентрації.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FF5238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5. </w:t>
            </w:r>
            <w:r w:rsidR="00CE310D" w:rsidRPr="00FF5238">
              <w:rPr>
                <w:b/>
                <w:sz w:val="24"/>
                <w:szCs w:val="24"/>
                <w:lang w:eastAsia="ru-RU"/>
              </w:rPr>
              <w:t>Фактори формування екзогенних руд</w:t>
            </w:r>
            <w:r w:rsidR="00CE310D" w:rsidRPr="00F045A4">
              <w:rPr>
                <w:sz w:val="24"/>
                <w:szCs w:val="24"/>
                <w:lang w:eastAsia="ru-RU"/>
              </w:rPr>
              <w:t xml:space="preserve">. Видовий склад і чинники появи екзогенних родовищ. </w:t>
            </w:r>
            <w:r w:rsidR="00FF5238">
              <w:rPr>
                <w:sz w:val="24"/>
                <w:szCs w:val="24"/>
                <w:lang w:eastAsia="ru-RU"/>
              </w:rPr>
              <w:t xml:space="preserve">Присутність підвищених вмістів цінних компонентів у вихідних породах, широкий прояв екзогенних факторів, що сприяють вивільненню і мобілізації первинних концентрацій, умови захоронення та збереження новоутворень.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6153FD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6.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CE310D" w:rsidRPr="00FF5238">
              <w:rPr>
                <w:rFonts w:eastAsia="MS Mincho"/>
                <w:b/>
                <w:sz w:val="24"/>
                <w:szCs w:val="24"/>
                <w:lang w:eastAsia="ja-JP"/>
              </w:rPr>
              <w:t>Роль флюїдів у створенні та перерозподілі рудних концентрацій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FF5238" w:rsidRPr="00904783">
              <w:rPr>
                <w:rFonts w:eastAsia="MS Mincho"/>
                <w:sz w:val="24"/>
                <w:szCs w:val="24"/>
                <w:lang w:eastAsia="ja-JP"/>
              </w:rPr>
              <w:t>Роль метасоматичних процесів у формуванні родовищ корисних копалин</w:t>
            </w:r>
            <w:r w:rsidR="006153FD">
              <w:rPr>
                <w:rFonts w:eastAsia="MS Mincho"/>
                <w:sz w:val="24"/>
                <w:szCs w:val="24"/>
                <w:lang w:eastAsia="ja-JP"/>
              </w:rPr>
              <w:t xml:space="preserve"> за рахунок первинних порід</w:t>
            </w:r>
            <w:r w:rsidR="00FF5238" w:rsidRPr="0090478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FF5238">
              <w:rPr>
                <w:rFonts w:eastAsia="MS Mincho"/>
                <w:sz w:val="24"/>
                <w:szCs w:val="24"/>
                <w:lang w:eastAsia="ja-JP"/>
              </w:rPr>
              <w:t xml:space="preserve">Значення флюїдів у вилуговуванні різних елементів, їх мобілізація та концентрація. Типи метасоматичних руд за складом вихідних порід і </w:t>
            </w:r>
            <w:r w:rsidR="006153FD">
              <w:rPr>
                <w:rFonts w:eastAsia="MS Mincho"/>
                <w:sz w:val="24"/>
                <w:szCs w:val="24"/>
                <w:lang w:eastAsia="ja-JP"/>
              </w:rPr>
              <w:t xml:space="preserve">характером флюїдних систем.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6153FD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7.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r w:rsidR="00CE310D" w:rsidRPr="006153FD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Взаємозв’язок рудних об’єктів з магматичними осередками і роль глибини їх формування. </w:t>
            </w:r>
            <w:r w:rsidR="006153FD">
              <w:rPr>
                <w:sz w:val="24"/>
                <w:szCs w:val="24"/>
                <w:lang w:eastAsia="ru-RU"/>
              </w:rPr>
              <w:t xml:space="preserve">Привнесення рудних компонентів з глибинних джерел. Вплив хімічного і мінерального складу гірських порід інтрузивного і вулканогенного походження. Зміни тиску при формуванні різних форм магматичних осередків на різних глибинах.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3419D7" w:rsidRPr="00B916D2" w:rsidRDefault="00B916D2" w:rsidP="00F34254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8. </w:t>
            </w:r>
            <w:r w:rsidR="00F34254">
              <w:rPr>
                <w:b/>
                <w:sz w:val="24"/>
                <w:szCs w:val="24"/>
                <w:lang w:eastAsia="ru-RU"/>
              </w:rPr>
              <w:t xml:space="preserve">Органогенне та глибинне походження вуглеводневих скупчень. </w:t>
            </w:r>
            <w:r w:rsidR="00F34254">
              <w:rPr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="00F34254">
              <w:rPr>
                <w:sz w:val="24"/>
                <w:szCs w:val="24"/>
                <w:lang w:eastAsia="ru-RU"/>
              </w:rPr>
              <w:t>вміщуючих</w:t>
            </w:r>
            <w:proofErr w:type="spellEnd"/>
            <w:r w:rsidR="00F34254">
              <w:rPr>
                <w:sz w:val="24"/>
                <w:szCs w:val="24"/>
                <w:lang w:eastAsia="ru-RU"/>
              </w:rPr>
              <w:t xml:space="preserve"> порід як сприятливих для міграції вуглеводнів і утворення пасток. Свідчення глибинної природи вуглеводнів і умови утворення їх родовищ. Проблемні питання складу та формування вуглеводневих утворень: рудні компоненти в нафтових покладах, просторовий зв'язок води і вуглеводнів, зональність розподілу вуглеводневих скупчень за складом.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A6431F">
            <w:pPr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CE310D" w:rsidRPr="00E533F6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Значення вихідного складу порід, де розвивається різнотипна ендогенна мінералізація</w:t>
            </w:r>
            <w:r w:rsidR="00CE310D" w:rsidRPr="00E4319D">
              <w:rPr>
                <w:bCs/>
                <w:color w:val="000000"/>
                <w:sz w:val="24"/>
                <w:szCs w:val="24"/>
                <w:lang w:eastAsia="ru-RU"/>
              </w:rPr>
              <w:t xml:space="preserve">. Вплив мінерального і хімічного складу </w:t>
            </w:r>
            <w:proofErr w:type="spellStart"/>
            <w:r w:rsidR="00CE310D" w:rsidRPr="00E4319D">
              <w:rPr>
                <w:bCs/>
                <w:color w:val="000000"/>
                <w:sz w:val="24"/>
                <w:szCs w:val="24"/>
                <w:lang w:eastAsia="ru-RU"/>
              </w:rPr>
              <w:t>рудоміщуючих</w:t>
            </w:r>
            <w:proofErr w:type="spellEnd"/>
            <w:r w:rsidR="00CE310D" w:rsidRPr="00E4319D">
              <w:rPr>
                <w:bCs/>
                <w:color w:val="000000"/>
                <w:sz w:val="24"/>
                <w:szCs w:val="24"/>
                <w:lang w:eastAsia="ru-RU"/>
              </w:rPr>
              <w:t xml:space="preserve"> порід на формування руд. </w:t>
            </w:r>
            <w:r w:rsidR="00E533F6">
              <w:rPr>
                <w:bCs/>
                <w:color w:val="000000"/>
                <w:sz w:val="24"/>
                <w:szCs w:val="24"/>
                <w:lang w:eastAsia="ru-RU"/>
              </w:rPr>
              <w:t>Умови утворення різних рудних концентрацій в контактових зонах порід рами і магматичних осередків: скарни</w:t>
            </w:r>
            <w:r w:rsidR="00A6431F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533F6">
              <w:rPr>
                <w:bCs/>
                <w:color w:val="000000"/>
                <w:sz w:val="24"/>
                <w:szCs w:val="24"/>
                <w:lang w:eastAsia="ru-RU"/>
              </w:rPr>
              <w:t xml:space="preserve"> грейзени</w:t>
            </w:r>
            <w:r w:rsidR="00A6431F">
              <w:rPr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6431F">
              <w:rPr>
                <w:bCs/>
                <w:color w:val="000000"/>
                <w:sz w:val="24"/>
                <w:szCs w:val="24"/>
                <w:lang w:eastAsia="ru-RU"/>
              </w:rPr>
              <w:t>карбонатити</w:t>
            </w:r>
            <w:proofErr w:type="spellEnd"/>
            <w:r w:rsidR="00E533F6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E533F6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10</w:t>
            </w:r>
            <w:r w:rsidRPr="00B916D2">
              <w:rPr>
                <w:sz w:val="24"/>
                <w:szCs w:val="24"/>
                <w:lang w:eastAsia="ru-RU"/>
              </w:rPr>
              <w:t xml:space="preserve">. </w:t>
            </w:r>
            <w:r w:rsidR="00CE310D" w:rsidRPr="00C45155">
              <w:rPr>
                <w:b/>
                <w:bCs/>
                <w:color w:val="000000"/>
                <w:sz w:val="24"/>
                <w:szCs w:val="24"/>
                <w:lang w:eastAsia="ru-RU"/>
              </w:rPr>
              <w:t>Роль регіонального метаморфізму у створенні рудних концентрацій.</w:t>
            </w:r>
            <w:r w:rsidR="00CE310D" w:rsidRPr="00FC1C66">
              <w:rPr>
                <w:bCs/>
                <w:color w:val="000000"/>
                <w:sz w:val="24"/>
                <w:szCs w:val="24"/>
                <w:lang w:eastAsia="ru-RU"/>
              </w:rPr>
              <w:t xml:space="preserve"> Специфіка генетичних типів родовищ в комплексах регіонального метаморфізму залежно від фацій метаморфізму. </w:t>
            </w:r>
            <w:r w:rsidR="00C45155">
              <w:rPr>
                <w:bCs/>
                <w:color w:val="000000"/>
                <w:sz w:val="24"/>
                <w:szCs w:val="24"/>
                <w:lang w:eastAsia="ru-RU"/>
              </w:rPr>
              <w:t xml:space="preserve">Утворення родовищ, пов’язаних з залізистими кварцитами, індустріальної сировини (кіаніту, ставроліту, корунду тощо), </w:t>
            </w:r>
            <w:r w:rsidR="00E533F6">
              <w:rPr>
                <w:bCs/>
                <w:color w:val="000000"/>
                <w:sz w:val="24"/>
                <w:szCs w:val="24"/>
                <w:lang w:eastAsia="ru-RU"/>
              </w:rPr>
              <w:t xml:space="preserve">апатиту.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3B7D4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11.</w:t>
            </w:r>
            <w:r w:rsidR="006355D5">
              <w:rPr>
                <w:sz w:val="24"/>
                <w:szCs w:val="24"/>
                <w:lang w:eastAsia="ru-RU"/>
              </w:rPr>
              <w:t xml:space="preserve"> </w:t>
            </w:r>
            <w:r w:rsidR="00CE310D" w:rsidRPr="00E533F6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Металогенічні епохи та залежність видового складу родовищ від </w:t>
            </w:r>
            <w:proofErr w:type="spellStart"/>
            <w:r w:rsidR="00CE310D" w:rsidRPr="00E533F6">
              <w:rPr>
                <w:rFonts w:eastAsia="MS Mincho"/>
                <w:b/>
                <w:sz w:val="24"/>
                <w:szCs w:val="24"/>
                <w:lang w:eastAsia="ja-JP"/>
              </w:rPr>
              <w:t>геоструктурних</w:t>
            </w:r>
            <w:proofErr w:type="spellEnd"/>
            <w:r w:rsidR="00CE310D" w:rsidRPr="00E533F6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елементів земної кори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>Металогенічні побудови</w:t>
            </w:r>
            <w:r w:rsidR="003B7D4C">
              <w:rPr>
                <w:rFonts w:eastAsia="MS Mincho"/>
                <w:sz w:val="24"/>
                <w:szCs w:val="24"/>
                <w:lang w:eastAsia="ja-JP"/>
              </w:rPr>
              <w:t xml:space="preserve"> різного масштабу. Металогенічні карти, як основа рудних прогнозів. Приклади з відкриття нової алмазоносної провінції в Якутії.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B3BC1" w:rsidRDefault="00B916D2" w:rsidP="00673BB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12.</w:t>
            </w:r>
            <w:r w:rsidR="00AA2BE2">
              <w:rPr>
                <w:sz w:val="24"/>
                <w:szCs w:val="24"/>
                <w:lang w:eastAsia="ru-RU"/>
              </w:rPr>
              <w:t xml:space="preserve"> </w:t>
            </w:r>
            <w:r w:rsidR="00673BBE" w:rsidRPr="00673BBE">
              <w:rPr>
                <w:rFonts w:eastAsia="MS Mincho"/>
                <w:b/>
                <w:sz w:val="24"/>
                <w:szCs w:val="24"/>
                <w:lang w:eastAsia="ja-JP"/>
              </w:rPr>
              <w:t>Сучасні методи визначення параметрів формування рудних концентрацій</w:t>
            </w:r>
            <w:r w:rsidR="00673BBE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>І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>зотопн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>і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 досліджен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ня та </w:t>
            </w:r>
            <w:proofErr w:type="spellStart"/>
            <w:r w:rsidR="00CE310D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>ермобарогеохімічні</w:t>
            </w:r>
            <w:proofErr w:type="spellEnd"/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 методи визначення параметрів природних та експериментальних систем формування 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рудних 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>мінералів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 та різних типів родовищ. </w:t>
            </w:r>
            <w:proofErr w:type="spellStart"/>
            <w:r w:rsidR="003C43A0">
              <w:rPr>
                <w:rFonts w:eastAsia="MS Mincho"/>
                <w:sz w:val="24"/>
                <w:szCs w:val="24"/>
                <w:lang w:eastAsia="ja-JP"/>
              </w:rPr>
              <w:t>Електрогеохімічні</w:t>
            </w:r>
            <w:proofErr w:type="spellEnd"/>
            <w:r w:rsidR="003C43A0">
              <w:rPr>
                <w:rFonts w:eastAsia="MS Mincho"/>
                <w:sz w:val="24"/>
                <w:szCs w:val="24"/>
                <w:lang w:eastAsia="ja-JP"/>
              </w:rPr>
              <w:t xml:space="preserve"> процеси.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673BBE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13. </w:t>
            </w:r>
            <w:r w:rsidR="00CE310D" w:rsidRPr="00673BBE">
              <w:rPr>
                <w:rFonts w:eastAsia="MS Mincho"/>
                <w:b/>
                <w:sz w:val="24"/>
                <w:szCs w:val="24"/>
                <w:lang w:eastAsia="ja-JP"/>
              </w:rPr>
              <w:t xml:space="preserve">Термодинамічне моделювання </w:t>
            </w:r>
            <w:r w:rsidR="00673BBE" w:rsidRPr="00673BBE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процесів утворення руд. </w:t>
            </w:r>
            <w:r w:rsidR="00673BBE" w:rsidRPr="00673BBE">
              <w:rPr>
                <w:rFonts w:eastAsia="MS Mincho"/>
                <w:sz w:val="24"/>
                <w:szCs w:val="24"/>
                <w:lang w:eastAsia="ja-JP"/>
              </w:rPr>
              <w:t>А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>наліз процесів утворення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 руд</w:t>
            </w:r>
            <w:r w:rsidR="00673BBE">
              <w:rPr>
                <w:rFonts w:eastAsia="MS Mincho"/>
                <w:sz w:val="24"/>
                <w:szCs w:val="24"/>
                <w:lang w:eastAsia="ja-JP"/>
              </w:rPr>
              <w:t>них концентрацій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, як основа для розуміння походження родовищ корисних копалин. 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Експериментальне відтворення 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природних процесів та 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>утворення руд в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 задани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="00CE310D" w:rsidRPr="00904783">
              <w:rPr>
                <w:rFonts w:eastAsia="MS Mincho"/>
                <w:sz w:val="24"/>
                <w:szCs w:val="24"/>
                <w:lang w:eastAsia="ja-JP"/>
              </w:rPr>
              <w:t xml:space="preserve"> заздалегідь параметра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х. Проблеми походження алмазу.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280547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 xml:space="preserve">Тема 14. </w:t>
            </w:r>
            <w:r w:rsidR="00CE310D" w:rsidRPr="00280547">
              <w:rPr>
                <w:b/>
                <w:sz w:val="24"/>
                <w:szCs w:val="24"/>
                <w:lang w:eastAsia="ru-RU"/>
              </w:rPr>
              <w:t xml:space="preserve">Проблеми походження руд «екзотичного» складу та унікальних за запасами родовищ. </w:t>
            </w:r>
            <w:r w:rsidR="00280547" w:rsidRPr="00280547">
              <w:rPr>
                <w:sz w:val="24"/>
                <w:szCs w:val="24"/>
                <w:lang w:eastAsia="ru-RU"/>
              </w:rPr>
              <w:t xml:space="preserve">Умови утворення і характеристик руд з дискусійними джерелами рудних компонентів: залізо манганові конкреції і багаті кобальтом кірки в океанах, алмази в докембрійських конгломератах. </w:t>
            </w:r>
            <w:r w:rsidR="00280547">
              <w:rPr>
                <w:sz w:val="24"/>
                <w:szCs w:val="24"/>
                <w:lang w:eastAsia="ru-RU"/>
              </w:rPr>
              <w:t xml:space="preserve">Джерело рудних компонентів і причини утворення ураганних вмістів в уранових родовищах (Канада), родовища золота типу </w:t>
            </w:r>
            <w:proofErr w:type="spellStart"/>
            <w:r w:rsidR="00280547">
              <w:rPr>
                <w:sz w:val="24"/>
                <w:szCs w:val="24"/>
                <w:lang w:eastAsia="ru-RU"/>
              </w:rPr>
              <w:t>Карлінг</w:t>
            </w:r>
            <w:proofErr w:type="spellEnd"/>
            <w:r w:rsidR="00280547">
              <w:rPr>
                <w:sz w:val="24"/>
                <w:szCs w:val="24"/>
                <w:lang w:eastAsia="ru-RU"/>
              </w:rPr>
              <w:t xml:space="preserve"> (США).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E52A61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15.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CE310D" w:rsidRPr="00280547">
              <w:rPr>
                <w:rFonts w:eastAsia="MS Mincho"/>
                <w:b/>
                <w:sz w:val="24"/>
                <w:szCs w:val="24"/>
                <w:lang w:eastAsia="ja-JP"/>
              </w:rPr>
              <w:t>Сучасний генетичний поділ родовищ корисних копалин в залежності від типу рудоносних магматичних комплексів, структури</w:t>
            </w:r>
            <w:r w:rsidR="00E52A61">
              <w:rPr>
                <w:rFonts w:eastAsia="MS Mincho"/>
                <w:b/>
                <w:sz w:val="24"/>
                <w:szCs w:val="24"/>
                <w:lang w:eastAsia="ja-JP"/>
              </w:rPr>
              <w:t>,</w:t>
            </w:r>
            <w:r w:rsidR="00CE310D" w:rsidRPr="00280547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температур і тисків. </w:t>
            </w:r>
            <w:r w:rsidR="00280547">
              <w:rPr>
                <w:rFonts w:eastAsia="MS Mincho"/>
                <w:sz w:val="24"/>
                <w:szCs w:val="24"/>
                <w:lang w:eastAsia="ja-JP"/>
              </w:rPr>
              <w:t xml:space="preserve">Роль В.І.Смирнова у створенні сучасної генетичної класифікації родовищ корисних копалин. Досягнення і обмеження існуючих схем класифікацій родовищ корисних копалин.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CE310D" w:rsidRPr="00B916D2" w:rsidRDefault="00B916D2" w:rsidP="00CE310D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16. </w:t>
            </w:r>
            <w:r w:rsidR="00CE310D" w:rsidRPr="00CE310D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Особливості використання генетичних моделей формування родовищ для вирішення прикладних задач. </w:t>
            </w:r>
            <w:r w:rsidR="00CE310D">
              <w:rPr>
                <w:rFonts w:eastAsia="MS Mincho"/>
                <w:sz w:val="24"/>
                <w:szCs w:val="24"/>
                <w:lang w:eastAsia="ja-JP"/>
              </w:rPr>
              <w:t xml:space="preserve">Наукове обґрунтування прогнозів, створення пошукових комплексів та критеріїв оцінки якості сировини.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0F08B9">
        <w:tc>
          <w:tcPr>
            <w:tcW w:w="7989" w:type="dxa"/>
          </w:tcPr>
          <w:p w:rsidR="00B916D2" w:rsidRPr="00B916D2" w:rsidRDefault="00B916D2" w:rsidP="00B916D2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B916D2" w:rsidRDefault="00B916D2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Методи контролю і шкала оцінювання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3419D7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Поточний контроль знань з курсу </w:t>
      </w: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DA07D6" w:rsidRPr="00DA07D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DA07D6" w:rsidRPr="00DA07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Сучасні теорії процесів </w:t>
      </w:r>
      <w:proofErr w:type="spellStart"/>
      <w:r w:rsidR="00DA07D6" w:rsidRPr="00DA07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рудогенезу</w:t>
      </w:r>
      <w:proofErr w:type="spellEnd"/>
      <w:r w:rsidR="00DA07D6" w:rsidRPr="00DA07D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та генетична систематика родовищ корисних копалин</w:t>
      </w:r>
      <w:r w:rsidRPr="003419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</w:t>
      </w: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викладач здійснює за результатами аудиторного опитування і при виконанні практичних занять. Підсумкова оцінка контролю: </w:t>
      </w:r>
      <w:r w:rsidRPr="00341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іспит.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B916D2" w:rsidRPr="00B916D2" w:rsidTr="000F08B9">
        <w:tc>
          <w:tcPr>
            <w:tcW w:w="1509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 балів</w:t>
            </w:r>
          </w:p>
        </w:tc>
        <w:tc>
          <w:tcPr>
            <w:tcW w:w="8139" w:type="dxa"/>
            <w:gridSpan w:val="3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Екзаменаційна оцінка </w:t>
            </w:r>
          </w:p>
        </w:tc>
      </w:tr>
      <w:tr w:rsidR="00B916D2" w:rsidRPr="00B916D2" w:rsidTr="000F08B9">
        <w:tc>
          <w:tcPr>
            <w:tcW w:w="1509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90-100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0F08B9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bookmarkEnd w:id="1"/>
    </w:tbl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Методичне забезпечення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лекцій опрацьовуються аспірантами під час лекцій і практичних занять. </w:t>
      </w: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Методичні вказівки та завдання для виконання під час практичних занять роботи здійснюються за роздрукованими матеріалами та електронними версіями статей чи книг із періодичних видань (включаючи англійський варіант архіву з журналу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Geology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Рекомендована література</w:t>
      </w:r>
    </w:p>
    <w:p w:rsidR="00B916D2" w:rsidRDefault="00B916D2" w:rsidP="00B9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Основна література </w:t>
      </w:r>
    </w:p>
    <w:p w:rsidR="000D29D2" w:rsidRPr="00980B7F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505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AD4E7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80B7F">
        <w:rPr>
          <w:rFonts w:ascii="Times New Roman" w:hAnsi="Times New Roman" w:cs="Times New Roman"/>
          <w:bCs/>
          <w:sz w:val="24"/>
          <w:szCs w:val="24"/>
        </w:rPr>
        <w:t>Афанасьев</w:t>
      </w:r>
      <w:proofErr w:type="spellEnd"/>
      <w:r w:rsidRPr="00980B7F">
        <w:rPr>
          <w:rFonts w:ascii="Times New Roman" w:hAnsi="Times New Roman" w:cs="Times New Roman"/>
          <w:bCs/>
          <w:sz w:val="24"/>
          <w:szCs w:val="24"/>
        </w:rPr>
        <w:t xml:space="preserve"> В.П. </w:t>
      </w:r>
      <w:proofErr w:type="spellStart"/>
      <w:r w:rsidRPr="00980B7F">
        <w:rPr>
          <w:rFonts w:ascii="Times New Roman" w:hAnsi="Times New Roman" w:cs="Times New Roman"/>
          <w:bCs/>
          <w:sz w:val="24"/>
          <w:szCs w:val="24"/>
        </w:rPr>
        <w:t>Поисковая</w:t>
      </w:r>
      <w:proofErr w:type="spellEnd"/>
      <w:r w:rsidRPr="00980B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B7F">
        <w:rPr>
          <w:rFonts w:ascii="Times New Roman" w:hAnsi="Times New Roman" w:cs="Times New Roman"/>
          <w:bCs/>
          <w:sz w:val="24"/>
          <w:szCs w:val="24"/>
        </w:rPr>
        <w:t>минералогия</w:t>
      </w:r>
      <w:proofErr w:type="spellEnd"/>
      <w:r w:rsidRPr="00980B7F">
        <w:rPr>
          <w:rFonts w:ascii="Times New Roman" w:hAnsi="Times New Roman" w:cs="Times New Roman"/>
          <w:bCs/>
          <w:sz w:val="24"/>
          <w:szCs w:val="24"/>
        </w:rPr>
        <w:t xml:space="preserve"> алмаза </w:t>
      </w:r>
      <w:r w:rsidRPr="00980B7F">
        <w:rPr>
          <w:rFonts w:ascii="Times New Roman" w:hAnsi="Times New Roman" w:cs="Times New Roman"/>
          <w:sz w:val="24"/>
          <w:szCs w:val="24"/>
        </w:rPr>
        <w:t xml:space="preserve">/ В.П.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Афанасьев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Зинчук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Похиленко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. ред. Н.В.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Соболев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Митюхин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7F"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Pr="0098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геологии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минералогии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. В.С. Соболева. –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80B7F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980B7F">
        <w:rPr>
          <w:rFonts w:ascii="Times New Roman" w:hAnsi="Times New Roman" w:cs="Times New Roman"/>
          <w:sz w:val="24"/>
          <w:szCs w:val="24"/>
        </w:rPr>
        <w:t>”, 2010. – 650с.</w:t>
      </w:r>
    </w:p>
    <w:p w:rsidR="000D29D2" w:rsidRPr="000D29D2" w:rsidRDefault="000D29D2" w:rsidP="000D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29D2" w:rsidRPr="006B1FE8" w:rsidRDefault="000D29D2" w:rsidP="000D29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2. </w:t>
      </w:r>
      <w:proofErr w:type="spellStart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Константинов</w:t>
      </w:r>
      <w:proofErr w:type="spellEnd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М.М., Некрасов Е.М., Сидоров А.А., </w:t>
      </w:r>
      <w:proofErr w:type="spellStart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Стружков</w:t>
      </w:r>
      <w:proofErr w:type="spellEnd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С.Ф. </w:t>
      </w:r>
      <w:proofErr w:type="spellStart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Золоторудные</w:t>
      </w:r>
      <w:proofErr w:type="spellEnd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гиганты</w:t>
      </w:r>
      <w:proofErr w:type="spellEnd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России</w:t>
      </w:r>
      <w:proofErr w:type="spellEnd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мира. М.: </w:t>
      </w:r>
      <w:proofErr w:type="spellStart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Научный</w:t>
      </w:r>
      <w:proofErr w:type="spellEnd"/>
      <w:r w:rsidRPr="006B1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мир, 2000. 272 с. </w:t>
      </w:r>
    </w:p>
    <w:p w:rsidR="000D29D2" w:rsidRPr="006B1FE8" w:rsidRDefault="000D29D2" w:rsidP="000D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29D2" w:rsidRPr="00DA45F1" w:rsidRDefault="000D29D2" w:rsidP="000D29D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3. </w:t>
      </w:r>
      <w:r w:rsidRPr="00DA45F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Лаврова Л.Д., Печников В.А., Плешаков А.М., Надеждина Е.Д., </w:t>
      </w:r>
      <w:proofErr w:type="spellStart"/>
      <w:r w:rsidRPr="00DA45F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Шуколюков</w:t>
      </w:r>
      <w:proofErr w:type="spellEnd"/>
      <w:r w:rsidRPr="00DA45F1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Ю.А. Новый генетический тип алмазных месторождений. М.: Научный мир, 1999. – 228с. </w:t>
      </w:r>
    </w:p>
    <w:p w:rsidR="000D29D2" w:rsidRPr="00E55A6E" w:rsidRDefault="000D29D2" w:rsidP="000D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29D2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eastAsia="Fd435109-Identity-H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60606"/>
          <w:sz w:val="24"/>
          <w:szCs w:val="24"/>
        </w:rPr>
        <w:t xml:space="preserve">4. </w:t>
      </w:r>
      <w:proofErr w:type="spellStart"/>
      <w:r w:rsidRPr="00685DD0">
        <w:rPr>
          <w:rFonts w:ascii="Times New Roman" w:hAnsi="Times New Roman" w:cs="Times New Roman"/>
          <w:color w:val="060606"/>
          <w:sz w:val="24"/>
          <w:szCs w:val="24"/>
        </w:rPr>
        <w:t>Проблемы</w:t>
      </w:r>
      <w:proofErr w:type="spellEnd"/>
      <w:r w:rsidRPr="00685DD0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proofErr w:type="spellStart"/>
      <w:r w:rsidRPr="00685DD0">
        <w:rPr>
          <w:rFonts w:ascii="Times New Roman" w:hAnsi="Times New Roman" w:cs="Times New Roman"/>
          <w:color w:val="060606"/>
          <w:sz w:val="24"/>
          <w:szCs w:val="24"/>
        </w:rPr>
        <w:t>петрологии</w:t>
      </w:r>
      <w:proofErr w:type="spellEnd"/>
      <w:r w:rsidRPr="00685DD0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proofErr w:type="spellStart"/>
      <w:r w:rsidRPr="00685DD0">
        <w:rPr>
          <w:rFonts w:ascii="Times New Roman" w:hAnsi="Times New Roman" w:cs="Times New Roman"/>
          <w:color w:val="060606"/>
          <w:sz w:val="24"/>
          <w:szCs w:val="24"/>
        </w:rPr>
        <w:t>магматических</w:t>
      </w:r>
      <w:proofErr w:type="spellEnd"/>
      <w:r w:rsidRPr="00685DD0">
        <w:rPr>
          <w:rFonts w:ascii="Times New Roman" w:hAnsi="Times New Roman" w:cs="Times New Roman"/>
          <w:color w:val="060606"/>
          <w:sz w:val="24"/>
          <w:szCs w:val="24"/>
        </w:rPr>
        <w:t xml:space="preserve"> и </w:t>
      </w:r>
      <w:proofErr w:type="spellStart"/>
      <w:r w:rsidRPr="00685DD0">
        <w:rPr>
          <w:rFonts w:ascii="Times New Roman" w:hAnsi="Times New Roman" w:cs="Times New Roman"/>
          <w:color w:val="060606"/>
          <w:sz w:val="24"/>
          <w:szCs w:val="24"/>
        </w:rPr>
        <w:t>метаморфических</w:t>
      </w:r>
      <w:proofErr w:type="spellEnd"/>
      <w:r w:rsidRPr="00685DD0">
        <w:rPr>
          <w:rFonts w:ascii="Times New Roman" w:hAnsi="Times New Roman" w:cs="Times New Roman"/>
          <w:color w:val="060606"/>
          <w:sz w:val="24"/>
          <w:szCs w:val="24"/>
        </w:rPr>
        <w:t xml:space="preserve"> </w:t>
      </w:r>
      <w:proofErr w:type="spellStart"/>
      <w:r w:rsidRPr="00685DD0">
        <w:rPr>
          <w:rFonts w:ascii="Times New Roman" w:hAnsi="Times New Roman" w:cs="Times New Roman"/>
          <w:color w:val="060606"/>
          <w:sz w:val="24"/>
          <w:szCs w:val="24"/>
        </w:rPr>
        <w:t>пород</w:t>
      </w:r>
      <w:proofErr w:type="spellEnd"/>
      <w:r w:rsidRPr="00685DD0">
        <w:rPr>
          <w:rFonts w:ascii="Times New Roman" w:hAnsi="Times New Roman" w:cs="Times New Roman"/>
          <w:color w:val="060606"/>
          <w:sz w:val="24"/>
          <w:szCs w:val="24"/>
        </w:rPr>
        <w:t xml:space="preserve">. </w:t>
      </w:r>
      <w:r w:rsidRPr="00685DD0">
        <w:rPr>
          <w:rFonts w:ascii="Times New Roman" w:eastAsia="Fd435109-Identity-H" w:hAnsi="Times New Roman" w:cs="Times New Roman"/>
          <w:color w:val="060606"/>
          <w:sz w:val="24"/>
          <w:szCs w:val="24"/>
        </w:rPr>
        <w:t xml:space="preserve">- </w:t>
      </w:r>
      <w:proofErr w:type="spellStart"/>
      <w:r w:rsidRPr="00685DD0">
        <w:rPr>
          <w:rFonts w:ascii="Times New Roman" w:eastAsia="Fd435109-Identity-H" w:hAnsi="Times New Roman" w:cs="Times New Roman"/>
          <w:color w:val="060606"/>
          <w:sz w:val="24"/>
          <w:szCs w:val="24"/>
        </w:rPr>
        <w:t>Новосибирск</w:t>
      </w:r>
      <w:proofErr w:type="spellEnd"/>
      <w:r w:rsidRPr="00685DD0">
        <w:rPr>
          <w:rFonts w:ascii="Times New Roman" w:eastAsia="Fd435109-Identity-H" w:hAnsi="Times New Roman" w:cs="Times New Roman"/>
          <w:color w:val="060606"/>
          <w:sz w:val="24"/>
          <w:szCs w:val="24"/>
        </w:rPr>
        <w:t xml:space="preserve">: </w:t>
      </w:r>
      <w:proofErr w:type="spellStart"/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</w:rPr>
        <w:t>Научно-издательский</w:t>
      </w:r>
      <w:proofErr w:type="spellEnd"/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</w:rPr>
        <w:t xml:space="preserve"> центр ОИГГМ СО РАН</w:t>
      </w:r>
      <w:r>
        <w:rPr>
          <w:rFonts w:ascii="Times New Roman" w:eastAsia="Fd435109-Identity-H" w:hAnsi="Times New Roman" w:cs="Times New Roman"/>
          <w:color w:val="080808"/>
          <w:sz w:val="24"/>
          <w:szCs w:val="24"/>
          <w:lang w:val="ru-RU"/>
        </w:rPr>
        <w:t xml:space="preserve">. </w:t>
      </w:r>
      <w:proofErr w:type="spellStart"/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</w:rPr>
        <w:t>Изд-во</w:t>
      </w:r>
      <w:proofErr w:type="spellEnd"/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</w:rPr>
        <w:t xml:space="preserve"> СО РАН</w:t>
      </w:r>
      <w:r>
        <w:rPr>
          <w:rFonts w:ascii="Times New Roman" w:eastAsia="Fd435109-Identity-H" w:hAnsi="Times New Roman" w:cs="Times New Roman"/>
          <w:color w:val="080808"/>
          <w:sz w:val="24"/>
          <w:szCs w:val="24"/>
          <w:lang w:val="ru-RU"/>
        </w:rPr>
        <w:t xml:space="preserve">. - </w:t>
      </w:r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</w:rPr>
        <w:t xml:space="preserve">1998. </w:t>
      </w:r>
      <w:r>
        <w:rPr>
          <w:rFonts w:ascii="Times New Roman" w:eastAsia="Fd435109-Identity-H" w:hAnsi="Times New Roman" w:cs="Times New Roman"/>
          <w:color w:val="080808"/>
          <w:sz w:val="24"/>
          <w:szCs w:val="24"/>
          <w:lang w:val="ru-RU"/>
        </w:rPr>
        <w:t xml:space="preserve">- </w:t>
      </w:r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</w:rPr>
        <w:t>98 с.</w:t>
      </w:r>
      <w:r w:rsidRPr="00685DD0">
        <w:rPr>
          <w:rFonts w:ascii="Times New Roman" w:eastAsia="Fd435109-Identity-H" w:hAnsi="Times New Roman" w:cs="Times New Roman"/>
          <w:color w:val="080808"/>
          <w:sz w:val="24"/>
          <w:szCs w:val="24"/>
          <w:lang w:val="ru-RU"/>
        </w:rPr>
        <w:t xml:space="preserve"> </w:t>
      </w:r>
    </w:p>
    <w:p w:rsidR="000D29D2" w:rsidRPr="00527EB7" w:rsidRDefault="000D29D2" w:rsidP="000D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29D2" w:rsidRPr="00527EB7" w:rsidRDefault="000D29D2" w:rsidP="000D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27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r w:rsidRPr="00527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В.І</w:t>
      </w:r>
      <w:r w:rsidRPr="00527E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Геологія корисних копалин. Київ, Вища школа, 1995.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356с. </w:t>
      </w:r>
    </w:p>
    <w:p w:rsidR="000D29D2" w:rsidRPr="00527EB7" w:rsidRDefault="000D29D2" w:rsidP="000D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29D2" w:rsidRPr="00D32E59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Abdelmalak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M. M.,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Faleide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J. I.,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Planke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al.</w:t>
      </w:r>
      <w:r w:rsidRPr="00D32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T-Reflection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Crustal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Vøring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E59">
        <w:rPr>
          <w:rFonts w:ascii="Times New Roman" w:hAnsi="Times New Roman" w:cs="Times New Roman"/>
          <w:sz w:val="24"/>
          <w:szCs w:val="24"/>
        </w:rPr>
        <w:t>mid-Norway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D3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E59">
        <w:rPr>
          <w:rFonts w:ascii="Times New Roman" w:hAnsi="Times New Roman" w:cs="Times New Roman"/>
          <w:sz w:val="24"/>
          <w:szCs w:val="24"/>
        </w:rPr>
        <w:t>Tectonics</w:t>
      </w:r>
      <w:proofErr w:type="spellEnd"/>
      <w:r w:rsidRPr="00D32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D32E59">
        <w:rPr>
          <w:rFonts w:ascii="Times New Roman" w:hAnsi="Times New Roman" w:cs="Times New Roman"/>
          <w:sz w:val="24"/>
          <w:szCs w:val="24"/>
        </w:rPr>
        <w:t>36(11)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D32E59">
        <w:rPr>
          <w:rFonts w:ascii="Times New Roman" w:hAnsi="Times New Roman" w:cs="Times New Roman"/>
          <w:sz w:val="24"/>
          <w:szCs w:val="24"/>
        </w:rPr>
        <w:t>2497–2523.</w:t>
      </w:r>
    </w:p>
    <w:p w:rsidR="000D29D2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D29D2" w:rsidRPr="00B77DA9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77DA9">
        <w:rPr>
          <w:rFonts w:ascii="Times New Roman" w:hAnsi="Times New Roman" w:cs="Times New Roman"/>
          <w:color w:val="000000"/>
          <w:sz w:val="24"/>
          <w:szCs w:val="24"/>
        </w:rPr>
        <w:t>Aiglsperger</w:t>
      </w:r>
      <w:proofErr w:type="spellEnd"/>
      <w:r w:rsidRPr="00B77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T., </w:t>
      </w:r>
      <w:proofErr w:type="spellStart"/>
      <w:r w:rsidRPr="00B77DA9">
        <w:rPr>
          <w:rFonts w:ascii="Times New Roman" w:hAnsi="Times New Roman" w:cs="Times New Roman"/>
          <w:color w:val="000000"/>
          <w:sz w:val="24"/>
          <w:szCs w:val="24"/>
        </w:rPr>
        <w:t>Proenza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J.A.,</w:t>
      </w:r>
      <w:r w:rsidRPr="00B77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color w:val="000000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J.F. et al.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metals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(REE,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, PGE)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laterites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Cuba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Dominican</w:t>
      </w:r>
      <w:proofErr w:type="spellEnd"/>
      <w:r w:rsidRPr="00B77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DA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B7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Ore Geology Reviews, 2016. V. 73. P. 127 - 147 </w:t>
      </w:r>
    </w:p>
    <w:p w:rsidR="000D29D2" w:rsidRPr="00D12CB7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9D2" w:rsidRPr="00D12CB7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Anderson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C.A.,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Nash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J.T.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sulfide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deposits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Jerome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, Arizona-a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reinterpretation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1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CB7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1972. </w:t>
      </w:r>
      <w:r w:rsidRPr="00D12CB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D12CB7">
        <w:rPr>
          <w:rFonts w:ascii="Times New Roman" w:hAnsi="Times New Roman" w:cs="Times New Roman"/>
          <w:sz w:val="24"/>
          <w:szCs w:val="24"/>
        </w:rPr>
        <w:t>845-863.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29D2" w:rsidRPr="00D12CB7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9D2" w:rsidRPr="00C603D3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Crustal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melt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ascent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emplacement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orogens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Geological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D3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C603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C603D3">
        <w:rPr>
          <w:rFonts w:ascii="Times New Roman" w:hAnsi="Times New Roman" w:cs="Times New Roman"/>
          <w:sz w:val="24"/>
          <w:szCs w:val="24"/>
        </w:rPr>
        <w:t>164(4)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C603D3">
        <w:rPr>
          <w:rFonts w:ascii="Times New Roman" w:hAnsi="Times New Roman" w:cs="Times New Roman"/>
          <w:sz w:val="24"/>
          <w:szCs w:val="24"/>
        </w:rPr>
        <w:t>709–730.</w:t>
      </w:r>
      <w:r w:rsidRPr="00C60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29D2" w:rsidRPr="00887AA4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9D2" w:rsidRPr="00887AA4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Černy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P.,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London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D.,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Novak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Granitic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Pegmatites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as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Reflections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of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Sources</w:t>
      </w:r>
      <w:proofErr w:type="spellEnd"/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 xml:space="preserve"> //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Elements</w:t>
      </w:r>
      <w:proofErr w:type="spellEnd"/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>, 2012.</w:t>
      </w:r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8. </w:t>
      </w:r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>P</w:t>
      </w:r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. 289–294. </w:t>
      </w:r>
      <w:hyperlink r:id="rId7" w:history="1">
        <w:r w:rsidRPr="00DE4AED">
          <w:rPr>
            <w:rStyle w:val="a4"/>
            <w:rFonts w:ascii="Times New Roman" w:eastAsia="CharisSIL" w:hAnsi="Times New Roman" w:cs="Times New Roman"/>
            <w:sz w:val="24"/>
            <w:szCs w:val="24"/>
          </w:rPr>
          <w:t>https://doi.org/10.2113/gselements.8.4.289</w:t>
        </w:r>
      </w:hyperlink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D29D2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</w:pPr>
    </w:p>
    <w:p w:rsidR="000D29D2" w:rsidRPr="00887AA4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Chappell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B.W.,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White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A.J.R.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Two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contrasting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granite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types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: 25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years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later</w:t>
      </w:r>
      <w:proofErr w:type="spellEnd"/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 xml:space="preserve"> //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Australian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J.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Earth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Sci</w:t>
      </w:r>
      <w:proofErr w:type="spellEnd"/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 xml:space="preserve">2001. </w:t>
      </w:r>
      <w:r w:rsidRPr="00887AA4">
        <w:rPr>
          <w:rFonts w:ascii="Times New Roman" w:eastAsia="CharisSIL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CharisSIL" w:hAnsi="Times New Roman" w:cs="Times New Roman"/>
          <w:color w:val="000000"/>
          <w:sz w:val="24"/>
          <w:szCs w:val="24"/>
          <w:lang w:val="en-US"/>
        </w:rPr>
        <w:t xml:space="preserve"> P.34 - 57</w:t>
      </w:r>
    </w:p>
    <w:p w:rsidR="000D29D2" w:rsidRPr="00887AA4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9D2" w:rsidRPr="001F16A4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Fossen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1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Cavalcante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 xml:space="preserve"> G. C. 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Shear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zones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 xml:space="preserve">. Earth-Science 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2017. </w:t>
      </w:r>
      <w:r w:rsidRPr="001F16A4">
        <w:rPr>
          <w:rFonts w:ascii="Times New Roman" w:hAnsi="Times New Roman" w:cs="Times New Roman"/>
          <w:sz w:val="24"/>
          <w:szCs w:val="24"/>
        </w:rPr>
        <w:t>171(</w:t>
      </w:r>
      <w:proofErr w:type="spellStart"/>
      <w:r w:rsidRPr="001F16A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F1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1F16A4">
        <w:rPr>
          <w:rFonts w:ascii="Times New Roman" w:hAnsi="Times New Roman" w:cs="Times New Roman"/>
          <w:sz w:val="24"/>
          <w:szCs w:val="24"/>
        </w:rPr>
        <w:t>434–455.</w:t>
      </w:r>
      <w:r w:rsidRPr="001F16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29D2" w:rsidRPr="0013773B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9D2" w:rsidRPr="0013773B" w:rsidRDefault="000D29D2" w:rsidP="000D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Giordano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T.H.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Kharaka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Y.K.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speciation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sedimentary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basin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brines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diagenetic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fluids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73B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Parnell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Geofluids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Origin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Migration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Evolution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Fluids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Sedimentary</w:t>
      </w:r>
      <w:proofErr w:type="spellEnd"/>
      <w:r w:rsidRPr="001377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i/>
          <w:iCs/>
          <w:sz w:val="24"/>
          <w:szCs w:val="24"/>
        </w:rPr>
        <w:t>Basins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Geological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3B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377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1994. V. </w:t>
      </w:r>
      <w:r w:rsidRPr="0013773B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13773B">
        <w:rPr>
          <w:rFonts w:ascii="Times New Roman" w:hAnsi="Times New Roman" w:cs="Times New Roman"/>
          <w:sz w:val="24"/>
          <w:szCs w:val="24"/>
        </w:rPr>
        <w:t xml:space="preserve"> 175–202.</w:t>
      </w:r>
      <w:r w:rsidRPr="00137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29D2" w:rsidRPr="0013773B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29D2" w:rsidRPr="007E6EDB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Lee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A.L.</w:t>
      </w:r>
      <w:r w:rsidRPr="007E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Lloyd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G.E.</w:t>
      </w:r>
      <w:r w:rsidRPr="007E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Torvela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T.,</w:t>
      </w:r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shear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 w:rsidRPr="007E6EDB">
        <w:rPr>
          <w:rFonts w:ascii="Times New Roman" w:hAnsi="Times New Roman" w:cs="Times New Roman"/>
          <w:sz w:val="24"/>
          <w:szCs w:val="24"/>
        </w:rPr>
        <w:t xml:space="preserve"> </w:t>
      </w:r>
      <w:r w:rsidRPr="007E6EDB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7E6EDB">
        <w:rPr>
          <w:rFonts w:ascii="Times New Roman" w:hAnsi="Times New Roman" w:cs="Times New Roman"/>
          <w:iCs/>
          <w:sz w:val="24"/>
          <w:szCs w:val="24"/>
        </w:rPr>
        <w:t>Journal</w:t>
      </w:r>
      <w:proofErr w:type="spellEnd"/>
      <w:r w:rsidRPr="007E6E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7E6E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7E6E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iCs/>
          <w:sz w:val="24"/>
          <w:szCs w:val="24"/>
        </w:rPr>
        <w:t>Geological</w:t>
      </w:r>
      <w:proofErr w:type="spellEnd"/>
      <w:r w:rsidRPr="007E6E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iCs/>
          <w:sz w:val="24"/>
          <w:szCs w:val="24"/>
        </w:rPr>
        <w:t>Society</w:t>
      </w:r>
      <w:proofErr w:type="spellEnd"/>
      <w:r w:rsidRPr="007E6ED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0D29D2" w:rsidRPr="007E6EDB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6EDB">
        <w:rPr>
          <w:rFonts w:ascii="Times New Roman" w:hAnsi="Times New Roman" w:cs="Times New Roman"/>
          <w:color w:val="0000FF"/>
          <w:sz w:val="24"/>
          <w:szCs w:val="24"/>
        </w:rPr>
        <w:t xml:space="preserve">http://jgs.lyellcollection.org/ </w:t>
      </w:r>
      <w:proofErr w:type="spellStart"/>
      <w:r w:rsidRPr="007E6EDB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7E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color w:val="000000"/>
          <w:sz w:val="24"/>
          <w:szCs w:val="24"/>
        </w:rPr>
        <w:t>guest</w:t>
      </w:r>
      <w:proofErr w:type="spellEnd"/>
      <w:r w:rsidRPr="007E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7E6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6EDB">
        <w:rPr>
          <w:rFonts w:ascii="Times New Roman" w:hAnsi="Times New Roman" w:cs="Times New Roman"/>
          <w:color w:val="000000"/>
          <w:sz w:val="24"/>
          <w:szCs w:val="24"/>
        </w:rPr>
        <w:t>January</w:t>
      </w:r>
      <w:proofErr w:type="spellEnd"/>
      <w:r w:rsidRPr="007E6EDB">
        <w:rPr>
          <w:rFonts w:ascii="Times New Roman" w:hAnsi="Times New Roman" w:cs="Times New Roman"/>
          <w:color w:val="000000"/>
          <w:sz w:val="24"/>
          <w:szCs w:val="24"/>
        </w:rPr>
        <w:t xml:space="preserve"> 21, 2020</w:t>
      </w:r>
      <w:r w:rsidRPr="007E6E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D29D2" w:rsidRPr="00555BB8" w:rsidRDefault="000D29D2" w:rsidP="000D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29D2" w:rsidRPr="00555BB8" w:rsidRDefault="000D29D2" w:rsidP="000D2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555BB8">
        <w:rPr>
          <w:rFonts w:ascii="Times New Roman" w:hAnsi="Times New Roman" w:cs="Times New Roman"/>
          <w:bCs/>
          <w:sz w:val="24"/>
          <w:szCs w:val="24"/>
        </w:rPr>
        <w:t>R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</w:t>
      </w:r>
      <w:proofErr w:type="spellStart"/>
      <w:r w:rsidRPr="00555BB8">
        <w:rPr>
          <w:rFonts w:ascii="Times New Roman" w:hAnsi="Times New Roman" w:cs="Times New Roman"/>
          <w:bCs/>
          <w:sz w:val="24"/>
          <w:szCs w:val="24"/>
        </w:rPr>
        <w:t>Introduction</w:t>
      </w:r>
      <w:proofErr w:type="spellEnd"/>
      <w:r w:rsidRPr="00555B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BB8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5BB8">
        <w:rPr>
          <w:rFonts w:ascii="Times New Roman" w:hAnsi="Times New Roman" w:cs="Times New Roman"/>
          <w:bCs/>
          <w:sz w:val="24"/>
          <w:szCs w:val="24"/>
        </w:rPr>
        <w:t>Ore-Forming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5BB8">
        <w:rPr>
          <w:rFonts w:ascii="Times New Roman" w:hAnsi="Times New Roman" w:cs="Times New Roman"/>
          <w:bCs/>
          <w:sz w:val="24"/>
          <w:szCs w:val="24"/>
        </w:rPr>
        <w:t>Processes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Blackwell Publishing.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55BB8">
        <w:rPr>
          <w:rFonts w:ascii="Times New Roman" w:hAnsi="Times New Roman" w:cs="Times New Roman"/>
          <w:sz w:val="24"/>
          <w:szCs w:val="24"/>
        </w:rPr>
        <w:t>Malden</w:t>
      </w:r>
      <w:proofErr w:type="spellEnd"/>
      <w:r w:rsidRPr="00555BB8">
        <w:rPr>
          <w:rFonts w:ascii="Times New Roman" w:hAnsi="Times New Roman" w:cs="Times New Roman"/>
          <w:sz w:val="24"/>
          <w:szCs w:val="24"/>
        </w:rPr>
        <w:t>, 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2005. 386p. </w:t>
      </w:r>
    </w:p>
    <w:p w:rsidR="00F2235C" w:rsidRPr="00F2235C" w:rsidRDefault="00F2235C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:rsidR="00B916D2" w:rsidRP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B916D2" w:rsidRDefault="00B916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0D29D2" w:rsidRPr="00925425" w:rsidRDefault="000D29D2" w:rsidP="000D29D2">
      <w:pPr>
        <w:pStyle w:val="Default"/>
        <w:ind w:left="3" w:right="57"/>
        <w:jc w:val="both"/>
        <w:rPr>
          <w:color w:val="auto"/>
          <w:lang w:val="ru-RU"/>
        </w:rPr>
      </w:pPr>
      <w:r>
        <w:rPr>
          <w:bCs/>
          <w:iCs/>
          <w:color w:val="auto"/>
          <w:lang w:val="ru-RU"/>
        </w:rPr>
        <w:t>1</w:t>
      </w:r>
      <w:r>
        <w:rPr>
          <w:bCs/>
          <w:iCs/>
          <w:color w:val="auto"/>
          <w:lang w:val="ru-RU"/>
        </w:rPr>
        <w:t xml:space="preserve">. </w:t>
      </w:r>
      <w:r w:rsidRPr="00925425">
        <w:rPr>
          <w:bCs/>
          <w:iCs/>
          <w:color w:val="auto"/>
        </w:rPr>
        <w:t xml:space="preserve">Булах А. Г., </w:t>
      </w:r>
      <w:proofErr w:type="spellStart"/>
      <w:r w:rsidRPr="00925425">
        <w:rPr>
          <w:bCs/>
          <w:iCs/>
          <w:color w:val="auto"/>
        </w:rPr>
        <w:t>Кривови</w:t>
      </w:r>
      <w:proofErr w:type="spellEnd"/>
      <w:r>
        <w:rPr>
          <w:bCs/>
          <w:iCs/>
          <w:color w:val="auto"/>
          <w:lang w:val="ru-RU"/>
        </w:rPr>
        <w:t>ч</w:t>
      </w:r>
      <w:proofErr w:type="spellStart"/>
      <w:r w:rsidRPr="00925425">
        <w:rPr>
          <w:bCs/>
          <w:iCs/>
          <w:color w:val="auto"/>
        </w:rPr>
        <w:t>ев</w:t>
      </w:r>
      <w:proofErr w:type="spellEnd"/>
      <w:r w:rsidRPr="00925425">
        <w:rPr>
          <w:bCs/>
          <w:iCs/>
          <w:color w:val="auto"/>
        </w:rPr>
        <w:t xml:space="preserve"> В. Г., </w:t>
      </w:r>
      <w:proofErr w:type="spellStart"/>
      <w:r w:rsidRPr="00925425">
        <w:rPr>
          <w:bCs/>
          <w:iCs/>
          <w:color w:val="auto"/>
        </w:rPr>
        <w:t>Золотарев</w:t>
      </w:r>
      <w:proofErr w:type="spellEnd"/>
      <w:r w:rsidRPr="00925425">
        <w:rPr>
          <w:bCs/>
          <w:iCs/>
          <w:color w:val="auto"/>
        </w:rPr>
        <w:t xml:space="preserve"> А. А. </w:t>
      </w:r>
      <w:proofErr w:type="spellStart"/>
      <w:r w:rsidRPr="00925425">
        <w:rPr>
          <w:color w:val="auto"/>
        </w:rPr>
        <w:t>Формулы</w:t>
      </w:r>
      <w:proofErr w:type="spellEnd"/>
      <w:r w:rsidRPr="00925425">
        <w:rPr>
          <w:color w:val="auto"/>
        </w:rPr>
        <w:t xml:space="preserve"> </w:t>
      </w:r>
      <w:proofErr w:type="spellStart"/>
      <w:r w:rsidRPr="00925425">
        <w:rPr>
          <w:color w:val="auto"/>
        </w:rPr>
        <w:t>минералов</w:t>
      </w:r>
      <w:proofErr w:type="spellEnd"/>
      <w:r w:rsidRPr="00925425">
        <w:rPr>
          <w:color w:val="auto"/>
        </w:rPr>
        <w:t xml:space="preserve">. </w:t>
      </w:r>
      <w:proofErr w:type="spellStart"/>
      <w:r w:rsidRPr="00925425">
        <w:rPr>
          <w:color w:val="auto"/>
        </w:rPr>
        <w:t>Термодинамический</w:t>
      </w:r>
      <w:proofErr w:type="spellEnd"/>
      <w:r w:rsidRPr="00925425">
        <w:rPr>
          <w:color w:val="auto"/>
        </w:rPr>
        <w:t xml:space="preserve"> </w:t>
      </w:r>
      <w:proofErr w:type="spellStart"/>
      <w:r w:rsidRPr="00925425">
        <w:rPr>
          <w:color w:val="auto"/>
        </w:rPr>
        <w:t>анализ</w:t>
      </w:r>
      <w:proofErr w:type="spellEnd"/>
      <w:r w:rsidRPr="00925425">
        <w:rPr>
          <w:color w:val="auto"/>
        </w:rPr>
        <w:t xml:space="preserve"> в </w:t>
      </w:r>
      <w:proofErr w:type="spellStart"/>
      <w:r w:rsidRPr="00925425">
        <w:rPr>
          <w:color w:val="auto"/>
        </w:rPr>
        <w:t>минералогии</w:t>
      </w:r>
      <w:proofErr w:type="spellEnd"/>
      <w:r w:rsidRPr="00925425">
        <w:rPr>
          <w:color w:val="auto"/>
        </w:rPr>
        <w:t xml:space="preserve"> и </w:t>
      </w:r>
      <w:proofErr w:type="spellStart"/>
      <w:r w:rsidRPr="00925425">
        <w:rPr>
          <w:color w:val="auto"/>
        </w:rPr>
        <w:t>геохимии</w:t>
      </w:r>
      <w:proofErr w:type="spellEnd"/>
      <w:r w:rsidRPr="00925425">
        <w:rPr>
          <w:color w:val="auto"/>
        </w:rPr>
        <w:t xml:space="preserve">. </w:t>
      </w:r>
      <w:r>
        <w:rPr>
          <w:color w:val="auto"/>
          <w:lang w:val="ru-RU"/>
        </w:rPr>
        <w:t xml:space="preserve">- </w:t>
      </w:r>
      <w:proofErr w:type="spellStart"/>
      <w:r w:rsidRPr="00925425">
        <w:rPr>
          <w:color w:val="auto"/>
        </w:rPr>
        <w:t>СПб</w:t>
      </w:r>
      <w:proofErr w:type="spellEnd"/>
      <w:r w:rsidRPr="00925425">
        <w:rPr>
          <w:color w:val="auto"/>
        </w:rPr>
        <w:t xml:space="preserve">.: </w:t>
      </w:r>
      <w:proofErr w:type="spellStart"/>
      <w:r w:rsidRPr="00925425">
        <w:rPr>
          <w:color w:val="auto"/>
        </w:rPr>
        <w:t>Изд-во</w:t>
      </w:r>
      <w:proofErr w:type="spellEnd"/>
      <w:r w:rsidRPr="00925425">
        <w:rPr>
          <w:color w:val="auto"/>
        </w:rPr>
        <w:t xml:space="preserve"> </w:t>
      </w:r>
      <w:proofErr w:type="spellStart"/>
      <w:proofErr w:type="gramStart"/>
      <w:r w:rsidRPr="00925425">
        <w:rPr>
          <w:color w:val="auto"/>
        </w:rPr>
        <w:t>СПб</w:t>
      </w:r>
      <w:proofErr w:type="spellEnd"/>
      <w:r w:rsidRPr="00925425">
        <w:rPr>
          <w:color w:val="auto"/>
        </w:rPr>
        <w:t xml:space="preserve"> ГУ</w:t>
      </w:r>
      <w:proofErr w:type="gramEnd"/>
      <w:r w:rsidRPr="00925425">
        <w:rPr>
          <w:color w:val="auto"/>
        </w:rPr>
        <w:t xml:space="preserve">, 1995. </w:t>
      </w:r>
      <w:r>
        <w:rPr>
          <w:color w:val="auto"/>
          <w:lang w:val="ru-RU"/>
        </w:rPr>
        <w:t xml:space="preserve">- 236с. </w:t>
      </w:r>
    </w:p>
    <w:p w:rsidR="000D29D2" w:rsidRPr="000D29D2" w:rsidRDefault="000D29D2" w:rsidP="00B916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</w:p>
    <w:p w:rsidR="00F2235C" w:rsidRPr="00F2235C" w:rsidRDefault="000D29D2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2</w:t>
      </w:r>
      <w:r w:rsidR="00F2235C" w:rsidRPr="00F2235C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Гаранин В.К. Кудрявцева Г.П., Марфунин А.С. Включения в алмазе и алмазоносные породы. – М.: МГУ, 1991. - 240с. </w:t>
      </w:r>
    </w:p>
    <w:p w:rsidR="00EF7DF8" w:rsidRPr="00F2235C" w:rsidRDefault="00EF7DF8" w:rsidP="00F2235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7EB7" w:rsidRDefault="000D29D2" w:rsidP="00527E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3</w:t>
      </w:r>
      <w:r w:rsidR="00527EB7"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Гулій В.М. Фізико-хімічні обмеження умов формування і стійкості мінералів // Збірник наукових праць </w:t>
      </w:r>
      <w:proofErr w:type="spellStart"/>
      <w:r w:rsidR="00527EB7"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>УкрДРГІ</w:t>
      </w:r>
      <w:proofErr w:type="spellEnd"/>
      <w:r w:rsidR="00527EB7" w:rsidRPr="00F2235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- 2003. - №2. - С. 123 - 129 </w:t>
      </w:r>
    </w:p>
    <w:p w:rsidR="000D29D2" w:rsidRPr="000D29D2" w:rsidRDefault="000D29D2" w:rsidP="000D29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:rsidR="000D29D2" w:rsidRDefault="000D29D2" w:rsidP="000D29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Омельянченко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Околорудные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гидротермальные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</w:t>
      </w:r>
      <w:proofErr w:type="spellEnd"/>
      <w:r w:rsidRPr="005B1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М., 1978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Недра</w:t>
      </w:r>
      <w:r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178с. </w:t>
      </w:r>
    </w:p>
    <w:p w:rsidR="000D29D2" w:rsidRPr="00F2235C" w:rsidRDefault="000D29D2" w:rsidP="00527E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27EB7" w:rsidRPr="00B916D2" w:rsidRDefault="000D29D2" w:rsidP="0052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527E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Перчук</w:t>
      </w:r>
      <w:proofErr w:type="spellEnd"/>
      <w:r w:rsidR="00527EB7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Л. </w:t>
      </w:r>
      <w:proofErr w:type="spellStart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Магматизм</w:t>
      </w:r>
      <w:proofErr w:type="spellEnd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метаморфизм</w:t>
      </w:r>
      <w:proofErr w:type="spellEnd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геодинамика</w:t>
      </w:r>
      <w:proofErr w:type="spellEnd"/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М.: Наука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1993.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190 с.</w:t>
      </w:r>
      <w:r w:rsidR="00527EB7" w:rsidRPr="00B916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527EB7" w:rsidRPr="00373E38" w:rsidRDefault="000D29D2" w:rsidP="0052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27E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527EB7" w:rsidRPr="00373E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Петрография и петрология магматических, метаморфических и метасоматических горных пород. М., Изд-во Логос, 2001.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356с. </w:t>
      </w:r>
    </w:p>
    <w:p w:rsidR="000D29D2" w:rsidRPr="00B916D2" w:rsidRDefault="000D29D2" w:rsidP="000D29D2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Япаскурт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О.В.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Предметаморфические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изменения осадочных пород в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стратисфере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Процессы и факторы. – М.: ГЕОС, 1999.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156с. </w:t>
      </w:r>
    </w:p>
    <w:p w:rsidR="00527EB7" w:rsidRPr="00EF7DF8" w:rsidRDefault="000D29D2" w:rsidP="00527E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8</w:t>
      </w:r>
      <w:r w:rsidR="00527EB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proofErr w:type="spellStart"/>
      <w:r w:rsidR="00527EB7" w:rsidRPr="00EF7DF8">
        <w:rPr>
          <w:rFonts w:ascii="Times New Roman" w:hAnsi="Times New Roman" w:cs="Times New Roman"/>
          <w:bCs/>
          <w:iCs/>
          <w:sz w:val="24"/>
          <w:szCs w:val="24"/>
        </w:rPr>
        <w:t>Эшкин</w:t>
      </w:r>
      <w:proofErr w:type="spellEnd"/>
      <w:r w:rsidR="00527EB7" w:rsidRPr="00EF7DF8">
        <w:rPr>
          <w:rFonts w:ascii="Times New Roman" w:hAnsi="Times New Roman" w:cs="Times New Roman"/>
          <w:bCs/>
          <w:iCs/>
          <w:sz w:val="24"/>
          <w:szCs w:val="24"/>
        </w:rPr>
        <w:t xml:space="preserve"> В. Ю. </w:t>
      </w:r>
      <w:proofErr w:type="spellStart"/>
      <w:r w:rsidR="00527EB7" w:rsidRPr="00EF7DF8">
        <w:rPr>
          <w:rFonts w:ascii="Times New Roman" w:hAnsi="Times New Roman" w:cs="Times New Roman"/>
          <w:sz w:val="24"/>
          <w:szCs w:val="24"/>
        </w:rPr>
        <w:t>Поисковая</w:t>
      </w:r>
      <w:proofErr w:type="spellEnd"/>
      <w:r w:rsidR="00527EB7" w:rsidRPr="00EF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B7" w:rsidRPr="00EF7DF8">
        <w:rPr>
          <w:rFonts w:ascii="Times New Roman" w:hAnsi="Times New Roman" w:cs="Times New Roman"/>
          <w:sz w:val="24"/>
          <w:szCs w:val="24"/>
        </w:rPr>
        <w:t>минералогия</w:t>
      </w:r>
      <w:proofErr w:type="spellEnd"/>
      <w:r w:rsidR="00527EB7" w:rsidRPr="00EF7D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7EB7" w:rsidRPr="00EF7DF8">
        <w:rPr>
          <w:rFonts w:ascii="Times New Roman" w:hAnsi="Times New Roman" w:cs="Times New Roman"/>
          <w:sz w:val="24"/>
          <w:szCs w:val="24"/>
        </w:rPr>
        <w:t>минералогическое</w:t>
      </w:r>
      <w:proofErr w:type="spellEnd"/>
      <w:r w:rsidR="00527EB7" w:rsidRPr="00EF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B7" w:rsidRPr="00EF7DF8">
        <w:rPr>
          <w:rFonts w:ascii="Times New Roman" w:hAnsi="Times New Roman" w:cs="Times New Roman"/>
          <w:sz w:val="24"/>
          <w:szCs w:val="24"/>
        </w:rPr>
        <w:t>картирование</w:t>
      </w:r>
      <w:proofErr w:type="spellEnd"/>
      <w:r w:rsidR="00527EB7" w:rsidRPr="00EF7DF8">
        <w:rPr>
          <w:rFonts w:ascii="Times New Roman" w:hAnsi="Times New Roman" w:cs="Times New Roman"/>
          <w:sz w:val="24"/>
          <w:szCs w:val="24"/>
        </w:rPr>
        <w:t xml:space="preserve">. </w:t>
      </w:r>
      <w:r w:rsidR="00527EB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27EB7" w:rsidRPr="00EF7DF8">
        <w:rPr>
          <w:rFonts w:ascii="Times New Roman" w:hAnsi="Times New Roman" w:cs="Times New Roman"/>
          <w:sz w:val="24"/>
          <w:szCs w:val="24"/>
        </w:rPr>
        <w:t xml:space="preserve">Л.: </w:t>
      </w:r>
      <w:proofErr w:type="spellStart"/>
      <w:r w:rsidR="00527EB7" w:rsidRPr="00EF7DF8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527EB7" w:rsidRPr="00EF7DF8">
        <w:rPr>
          <w:rFonts w:ascii="Times New Roman" w:hAnsi="Times New Roman" w:cs="Times New Roman"/>
          <w:sz w:val="24"/>
          <w:szCs w:val="24"/>
        </w:rPr>
        <w:t xml:space="preserve"> ЛГИ</w:t>
      </w:r>
      <w:r w:rsidR="00527E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27EB7" w:rsidRPr="00EF7DF8">
        <w:rPr>
          <w:rFonts w:ascii="Times New Roman" w:hAnsi="Times New Roman" w:cs="Times New Roman"/>
          <w:sz w:val="24"/>
          <w:szCs w:val="24"/>
        </w:rPr>
        <w:t>1989.</w:t>
      </w:r>
      <w:r w:rsidR="00527EB7">
        <w:rPr>
          <w:rFonts w:ascii="Times New Roman" w:hAnsi="Times New Roman" w:cs="Times New Roman"/>
          <w:sz w:val="24"/>
          <w:szCs w:val="24"/>
          <w:lang w:val="ru-RU"/>
        </w:rPr>
        <w:t xml:space="preserve"> – 215с. </w:t>
      </w:r>
    </w:p>
    <w:p w:rsidR="00527EB7" w:rsidRPr="00B916D2" w:rsidRDefault="000D29D2" w:rsidP="00527EB7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10</w:t>
      </w:r>
      <w:r w:rsidR="00527E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Barton</w:t>
      </w:r>
      <w:r w:rsidR="00527EB7" w:rsidRPr="000D2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</w:t>
      </w:r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</w:t>
      </w:r>
      <w:r w:rsidR="00527EB7" w:rsidRPr="000D29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.</w:t>
      </w:r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D., </w:t>
      </w:r>
      <w:proofErr w:type="spellStart"/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Ilchik</w:t>
      </w:r>
      <w:proofErr w:type="spellEnd"/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R.P., </w:t>
      </w:r>
      <w:proofErr w:type="spellStart"/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Marikos</w:t>
      </w:r>
      <w:proofErr w:type="spellEnd"/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M.A. </w:t>
      </w:r>
      <w:proofErr w:type="spellStart"/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Metasomatism</w:t>
      </w:r>
      <w:proofErr w:type="spellEnd"/>
      <w:r w:rsidR="00527EB7" w:rsidRPr="00B916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 xml:space="preserve"> // </w:t>
      </w:r>
      <w:r w:rsidR="00527EB7" w:rsidRPr="00B916D2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en-US" w:eastAsia="uk-UA"/>
        </w:rPr>
        <w:t xml:space="preserve">Contact metamorphism. Reviews in Mineralogy. Vol. 26. </w:t>
      </w:r>
    </w:p>
    <w:p w:rsidR="000D29D2" w:rsidRDefault="000D29D2" w:rsidP="000D29D2">
      <w:pPr>
        <w:shd w:val="clear" w:color="auto" w:fill="FFFFFF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Bushmin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</w:t>
      </w:r>
      <w:r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Azimov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  <w:r w:rsidRPr="00B916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</w:rPr>
        <w:t>Lvov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 </w:t>
      </w:r>
      <w:r w:rsidRPr="00B916D2">
        <w:rPr>
          <w:rFonts w:ascii="Times New Roman" w:hAnsi="Times New Roman" w:cs="Times New Roman"/>
          <w:bCs/>
          <w:sz w:val="24"/>
          <w:szCs w:val="24"/>
        </w:rPr>
        <w:t>N</w:t>
      </w:r>
      <w:proofErr w:type="spellStart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>umerical</w:t>
      </w:r>
      <w:proofErr w:type="spellEnd"/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modeling of the metamorphic mineral solubility in hydrothermal solutions at </w:t>
      </w:r>
      <w:r w:rsidRPr="00B916D2">
        <w:rPr>
          <w:rFonts w:ascii="Times New Roman" w:hAnsi="Times New Roman" w:cs="Times New Roman"/>
          <w:bCs/>
          <w:sz w:val="24"/>
          <w:szCs w:val="24"/>
        </w:rPr>
        <w:t>400-800°C, 1-5 K</w:t>
      </w:r>
      <w:r w:rsidRPr="00B91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bar and various fluid acidity // </w:t>
      </w:r>
      <w:r w:rsidRPr="00B916D2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B916D2">
        <w:rPr>
          <w:rFonts w:ascii="Times New Roman" w:hAnsi="Times New Roman" w:cs="Times New Roman"/>
          <w:sz w:val="24"/>
          <w:szCs w:val="24"/>
          <w:lang w:val="en-US"/>
        </w:rPr>
        <w:t>ineralogical</w:t>
      </w:r>
      <w:proofErr w:type="spellEnd"/>
      <w:r w:rsidRPr="00B916D2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B916D2">
        <w:rPr>
          <w:rFonts w:ascii="Times New Roman" w:hAnsi="Times New Roman" w:cs="Times New Roman"/>
          <w:sz w:val="24"/>
          <w:szCs w:val="24"/>
          <w:lang w:val="en-US"/>
        </w:rPr>
        <w:t>ollection</w:t>
      </w:r>
      <w:proofErr w:type="spellEnd"/>
      <w:r w:rsidRPr="00B916D2">
        <w:rPr>
          <w:rFonts w:ascii="Times New Roman" w:hAnsi="Times New Roman" w:cs="Times New Roman"/>
          <w:sz w:val="24"/>
          <w:szCs w:val="24"/>
          <w:lang w:val="en-US"/>
        </w:rPr>
        <w:t>. - 2</w:t>
      </w:r>
      <w:r w:rsidRPr="00B916D2">
        <w:rPr>
          <w:rFonts w:ascii="Times New Roman" w:hAnsi="Times New Roman" w:cs="Times New Roman"/>
          <w:sz w:val="24"/>
          <w:szCs w:val="24"/>
        </w:rPr>
        <w:t xml:space="preserve">004. N 54 (2). </w:t>
      </w:r>
      <w:r w:rsidRPr="00EF7DF8">
        <w:rPr>
          <w:rFonts w:ascii="Times New Roman" w:hAnsi="Times New Roman" w:cs="Times New Roman"/>
          <w:sz w:val="24"/>
          <w:szCs w:val="24"/>
        </w:rPr>
        <w:t xml:space="preserve">- </w:t>
      </w:r>
      <w:r w:rsidRPr="00B916D2">
        <w:rPr>
          <w:rFonts w:ascii="Times New Roman" w:hAnsi="Times New Roman" w:cs="Times New Roman"/>
          <w:sz w:val="24"/>
          <w:szCs w:val="24"/>
        </w:rPr>
        <w:t xml:space="preserve">P. 94–116 </w:t>
      </w:r>
      <w:r w:rsidRPr="00EF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B7" w:rsidRPr="00431CF2" w:rsidRDefault="00527EB7" w:rsidP="00527EB7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D29D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Dickin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 xml:space="preserve"> </w:t>
      </w:r>
      <w:r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A.P. </w:t>
      </w:r>
      <w:proofErr w:type="spellStart"/>
      <w:r w:rsidRPr="00431CF2">
        <w:rPr>
          <w:rFonts w:ascii="Times New Roman" w:hAnsi="Times New Roman" w:cs="Times New Roman"/>
          <w:bCs/>
          <w:sz w:val="24"/>
          <w:szCs w:val="24"/>
        </w:rPr>
        <w:t>Radiogenic</w:t>
      </w:r>
      <w:proofErr w:type="spellEnd"/>
      <w:r w:rsidRPr="00431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1CF2">
        <w:rPr>
          <w:rFonts w:ascii="Times New Roman" w:hAnsi="Times New Roman" w:cs="Times New Roman"/>
          <w:bCs/>
          <w:sz w:val="24"/>
          <w:szCs w:val="24"/>
        </w:rPr>
        <w:t>Isotope</w:t>
      </w:r>
      <w:proofErr w:type="spellEnd"/>
      <w:r w:rsidRPr="00431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1CF2">
        <w:rPr>
          <w:rFonts w:ascii="Times New Roman" w:hAnsi="Times New Roman" w:cs="Times New Roman"/>
          <w:bCs/>
          <w:sz w:val="24"/>
          <w:szCs w:val="24"/>
        </w:rPr>
        <w:t>Geology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CF2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431CF2">
        <w:rPr>
          <w:rFonts w:ascii="Times New Roman" w:hAnsi="Times New Roman" w:cs="Times New Roman"/>
          <w:sz w:val="24"/>
          <w:szCs w:val="24"/>
        </w:rPr>
        <w:t>, UK</w:t>
      </w:r>
      <w:r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31CF2">
        <w:rPr>
          <w:rFonts w:ascii="Times New Roman" w:hAnsi="Times New Roman" w:cs="Times New Roman"/>
          <w:sz w:val="24"/>
          <w:szCs w:val="24"/>
        </w:rPr>
        <w:t>2005</w:t>
      </w:r>
      <w:r w:rsidRPr="00431C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- 492p.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7EB7" w:rsidRPr="00B916D2" w:rsidRDefault="00527EB7" w:rsidP="00527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0D29D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Yardley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W.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D.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introduction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to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metamorphic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petrology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Longman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Scientific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&amp;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Technical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England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1991.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uk-UA"/>
        </w:rPr>
        <w:t>248 p.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</w:p>
    <w:p w:rsidR="00527EB7" w:rsidRPr="00993B5C" w:rsidRDefault="00527EB7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Інформаційні ресурси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2" w:rsidRPr="00EF7DF8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Gate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Academia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цього: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9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10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1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2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0226AA" w:rsidRPr="007E6EDB" w:rsidRDefault="000226AA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B6E" w:rsidRDefault="000D5B6E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7EB7" w:rsidRPr="00527EB7" w:rsidRDefault="00527EB7" w:rsidP="00555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EB7" w:rsidRPr="00527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d435109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CCB"/>
    <w:multiLevelType w:val="hybridMultilevel"/>
    <w:tmpl w:val="4F804AFA"/>
    <w:lvl w:ilvl="0" w:tplc="8926096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7908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F6A25"/>
    <w:multiLevelType w:val="hybridMultilevel"/>
    <w:tmpl w:val="C572451A"/>
    <w:lvl w:ilvl="0" w:tplc="4F18BE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A"/>
    <w:rsid w:val="00002740"/>
    <w:rsid w:val="000226AA"/>
    <w:rsid w:val="000D29D2"/>
    <w:rsid w:val="000D5B6E"/>
    <w:rsid w:val="0013773B"/>
    <w:rsid w:val="00191BE1"/>
    <w:rsid w:val="001A2F37"/>
    <w:rsid w:val="001B3F13"/>
    <w:rsid w:val="001B416F"/>
    <w:rsid w:val="001D0AD3"/>
    <w:rsid w:val="001F16A4"/>
    <w:rsid w:val="0020254C"/>
    <w:rsid w:val="00203E8E"/>
    <w:rsid w:val="00231487"/>
    <w:rsid w:val="00280547"/>
    <w:rsid w:val="002C0375"/>
    <w:rsid w:val="002F4E2D"/>
    <w:rsid w:val="00316A96"/>
    <w:rsid w:val="003419D7"/>
    <w:rsid w:val="003453B0"/>
    <w:rsid w:val="00373E38"/>
    <w:rsid w:val="003978A7"/>
    <w:rsid w:val="003B7D4C"/>
    <w:rsid w:val="003C43A0"/>
    <w:rsid w:val="0042248F"/>
    <w:rsid w:val="0042325F"/>
    <w:rsid w:val="00427253"/>
    <w:rsid w:val="00431CF2"/>
    <w:rsid w:val="004D4DFE"/>
    <w:rsid w:val="004D6659"/>
    <w:rsid w:val="004F1B65"/>
    <w:rsid w:val="00524922"/>
    <w:rsid w:val="00527EB7"/>
    <w:rsid w:val="00544E7D"/>
    <w:rsid w:val="00555BB8"/>
    <w:rsid w:val="005659BC"/>
    <w:rsid w:val="005B1AD1"/>
    <w:rsid w:val="005B1B01"/>
    <w:rsid w:val="005B73FC"/>
    <w:rsid w:val="006038ED"/>
    <w:rsid w:val="006153FD"/>
    <w:rsid w:val="00616BB0"/>
    <w:rsid w:val="006355D5"/>
    <w:rsid w:val="00673BBE"/>
    <w:rsid w:val="006761E2"/>
    <w:rsid w:val="006B1FE8"/>
    <w:rsid w:val="006D6BEF"/>
    <w:rsid w:val="00701F22"/>
    <w:rsid w:val="00707422"/>
    <w:rsid w:val="00715052"/>
    <w:rsid w:val="00753A42"/>
    <w:rsid w:val="00763175"/>
    <w:rsid w:val="0077562D"/>
    <w:rsid w:val="007E6EDB"/>
    <w:rsid w:val="007E775B"/>
    <w:rsid w:val="008064A4"/>
    <w:rsid w:val="00856A8B"/>
    <w:rsid w:val="008839EE"/>
    <w:rsid w:val="00887AA4"/>
    <w:rsid w:val="008A50FD"/>
    <w:rsid w:val="009078CE"/>
    <w:rsid w:val="00910206"/>
    <w:rsid w:val="00923BFA"/>
    <w:rsid w:val="00932D8F"/>
    <w:rsid w:val="009379C9"/>
    <w:rsid w:val="009504C5"/>
    <w:rsid w:val="00956BAE"/>
    <w:rsid w:val="009828A5"/>
    <w:rsid w:val="00A175D7"/>
    <w:rsid w:val="00A20ED9"/>
    <w:rsid w:val="00A22C17"/>
    <w:rsid w:val="00A6431F"/>
    <w:rsid w:val="00A84B95"/>
    <w:rsid w:val="00AA0D33"/>
    <w:rsid w:val="00AA2BE2"/>
    <w:rsid w:val="00AC0218"/>
    <w:rsid w:val="00AD4DFA"/>
    <w:rsid w:val="00B25718"/>
    <w:rsid w:val="00B510FF"/>
    <w:rsid w:val="00B77DA9"/>
    <w:rsid w:val="00B90622"/>
    <w:rsid w:val="00B916D2"/>
    <w:rsid w:val="00BB3BC1"/>
    <w:rsid w:val="00BB6DB7"/>
    <w:rsid w:val="00BC0B1C"/>
    <w:rsid w:val="00BD3BD5"/>
    <w:rsid w:val="00BD5408"/>
    <w:rsid w:val="00BE53A4"/>
    <w:rsid w:val="00C227EF"/>
    <w:rsid w:val="00C34309"/>
    <w:rsid w:val="00C45155"/>
    <w:rsid w:val="00C509AC"/>
    <w:rsid w:val="00C603D3"/>
    <w:rsid w:val="00C63014"/>
    <w:rsid w:val="00C64C1A"/>
    <w:rsid w:val="00C854CF"/>
    <w:rsid w:val="00C87BF1"/>
    <w:rsid w:val="00CA5252"/>
    <w:rsid w:val="00CE310D"/>
    <w:rsid w:val="00CE5D6E"/>
    <w:rsid w:val="00D018EC"/>
    <w:rsid w:val="00D12CB7"/>
    <w:rsid w:val="00D32E59"/>
    <w:rsid w:val="00DA07D6"/>
    <w:rsid w:val="00DA60C2"/>
    <w:rsid w:val="00DF56CD"/>
    <w:rsid w:val="00E33D43"/>
    <w:rsid w:val="00E4319D"/>
    <w:rsid w:val="00E52A61"/>
    <w:rsid w:val="00E533F6"/>
    <w:rsid w:val="00E55A6E"/>
    <w:rsid w:val="00E75B01"/>
    <w:rsid w:val="00E82D0E"/>
    <w:rsid w:val="00E87ADC"/>
    <w:rsid w:val="00EC4FF8"/>
    <w:rsid w:val="00EE4243"/>
    <w:rsid w:val="00EE700A"/>
    <w:rsid w:val="00EF6BE9"/>
    <w:rsid w:val="00EF7DF8"/>
    <w:rsid w:val="00F045A4"/>
    <w:rsid w:val="00F2235C"/>
    <w:rsid w:val="00F34254"/>
    <w:rsid w:val="00FC1C66"/>
    <w:rsid w:val="00FF17E0"/>
    <w:rsid w:val="00FF5238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87A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87A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e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113/gselements.8.4.289" TargetMode="External"/><Relationship Id="rId12" Type="http://schemas.openxmlformats.org/officeDocument/2006/relationships/hyperlink" Target="http://www.ige.csic.es/sdb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wa.info/geochemistr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arthref.org/cgi-bin/germ-s0-main.c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roc.mpch-mainz.gwdg.de/Star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022A-B36C-4913-A5FB-8F12D20E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11854</Words>
  <Characters>6758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2020-01-21T16:41:00Z</dcterms:created>
  <dcterms:modified xsi:type="dcterms:W3CDTF">2020-01-24T10:50:00Z</dcterms:modified>
</cp:coreProperties>
</file>