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2" w:rsidRDefault="009314CC">
      <w:pPr>
        <w:rPr>
          <w:lang w:val="en-US"/>
        </w:rPr>
      </w:pPr>
    </w:p>
    <w:p w:rsidR="00B21353" w:rsidRDefault="00B21353" w:rsidP="00B2135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7C10A5">
        <w:rPr>
          <w:rFonts w:ascii="Garamond" w:eastAsia="Times New Roman" w:hAnsi="Garamond" w:cs="Garamond"/>
          <w:b/>
          <w:color w:val="000000"/>
          <w:sz w:val="28"/>
          <w:szCs w:val="28"/>
        </w:rPr>
        <w:t>геологічний</w:t>
      </w: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7C10A5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петрографії </w:t>
      </w: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Pr="003A5DE5" w:rsidRDefault="00B21353" w:rsidP="00B21353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1353" w:rsidRPr="007C10A5" w:rsidRDefault="00B21353" w:rsidP="00B2135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C10A5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7C10A5">
        <w:rPr>
          <w:rFonts w:ascii="Times New Roman" w:hAnsi="Times New Roman"/>
          <w:sz w:val="24"/>
          <w:szCs w:val="24"/>
        </w:rPr>
        <w:t>петрографії</w:t>
      </w:r>
    </w:p>
    <w:p w:rsidR="00B21353" w:rsidRPr="007C10A5" w:rsidRDefault="00B21353" w:rsidP="00B2135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C10A5">
        <w:rPr>
          <w:rFonts w:ascii="Times New Roman" w:hAnsi="Times New Roman"/>
          <w:sz w:val="24"/>
          <w:szCs w:val="24"/>
        </w:rPr>
        <w:t xml:space="preserve">факультету </w:t>
      </w:r>
      <w:r w:rsidR="007C10A5">
        <w:rPr>
          <w:rFonts w:ascii="Times New Roman" w:hAnsi="Times New Roman"/>
          <w:sz w:val="24"/>
          <w:szCs w:val="24"/>
        </w:rPr>
        <w:t>геологічного</w:t>
      </w:r>
    </w:p>
    <w:p w:rsidR="00B21353" w:rsidRPr="00CE03B1" w:rsidRDefault="00B21353" w:rsidP="00B2135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C10A5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1353" w:rsidRPr="00CE03B1" w:rsidRDefault="00B21353" w:rsidP="00B21353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1353" w:rsidRDefault="00B21353" w:rsidP="00B21353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1353" w:rsidRDefault="00B21353" w:rsidP="00B21353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1353" w:rsidRDefault="00B21353" w:rsidP="00B21353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5FF" w:rsidRDefault="00B21353" w:rsidP="00F63E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B21353" w:rsidRDefault="00B21353" w:rsidP="00F63E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proofErr w:type="spellStart"/>
      <w:r w:rsidR="007C10A5" w:rsidRPr="00904783">
        <w:rPr>
          <w:rFonts w:ascii="Times New Roman" w:eastAsia="MS Mincho" w:hAnsi="Times New Roman"/>
          <w:b/>
          <w:sz w:val="24"/>
          <w:szCs w:val="24"/>
          <w:lang w:eastAsia="ja-JP"/>
        </w:rPr>
        <w:t>Мінералого-геохімічні</w:t>
      </w:r>
      <w:proofErr w:type="spellEnd"/>
      <w:r w:rsidR="007C10A5" w:rsidRPr="0090478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індикатори петрологічних процесів і утворення руд та прикладні аспекти їх використання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2B05FF" w:rsidRPr="00B75914" w:rsidRDefault="002B05FF" w:rsidP="00F63E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7C10A5" w:rsidRPr="00D50DDD" w:rsidRDefault="00B21353" w:rsidP="00F63ECC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третього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7C10A5" w:rsidRPr="00D5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103 Науки про Землю</w:t>
      </w:r>
    </w:p>
    <w:p w:rsidR="00B21353" w:rsidRPr="00B75914" w:rsidRDefault="00B21353" w:rsidP="00B2135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Default="00B21353" w:rsidP="00B2135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Pr="006A6169" w:rsidRDefault="00B21353" w:rsidP="00B21353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1353" w:rsidRPr="006A6169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353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353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353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353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_____ р.</w:t>
      </w:r>
    </w:p>
    <w:p w:rsidR="00B21353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353" w:rsidRDefault="00B21353" w:rsidP="00B21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1353" w:rsidRPr="006A6169" w:rsidRDefault="00B21353" w:rsidP="00B213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7C10A5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478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Мінералого-геохімічні</w:t>
            </w:r>
            <w:proofErr w:type="spellEnd"/>
            <w:r w:rsidRPr="0090478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індикатори петрологічних процесів і утворення руд та прикладні аспекти їх використання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492C28" w:rsidP="00492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Грушевського, 4</w:t>
            </w:r>
            <w:r w:rsidR="002B05FF">
              <w:rPr>
                <w:rFonts w:ascii="Times New Roman" w:eastAsia="Times New Roman" w:hAnsi="Times New Roman"/>
                <w:sz w:val="24"/>
                <w:szCs w:val="24"/>
              </w:rPr>
              <w:t xml:space="preserve">, Львів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492C28" w:rsidP="00492C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геологічн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99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факультет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кафедра петрографії 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28" w:rsidRPr="00D50DDD" w:rsidRDefault="00492C28" w:rsidP="00492C2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</w:p>
          <w:p w:rsidR="00492C28" w:rsidRPr="00D50DDD" w:rsidRDefault="00492C28" w:rsidP="00492C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Спеціалізація </w:t>
            </w:r>
            <w:r w:rsidRPr="00D50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28" w:rsidRPr="00993B5C" w:rsidRDefault="00492C28" w:rsidP="00492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Гулій В.М., доктор геолого-мінералогічних наук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проф. </w:t>
            </w:r>
            <w:r w:rsidRPr="00993B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492C28" w:rsidRDefault="00492C28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vguliy@hotmail.com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Skype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="00492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267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267C51" w:rsidRPr="009047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формування необхідних теоретичних знань щодо причин відображення особливостей петрологічних процесів і утворення руд в хімічному складі мінералів, їх морфології, фізичних властивостях, ізотопно-геохімічних показниках, а також практичних навиків, які дозволять виявляти серед них індикаторні для прикладних цілей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267C51" w:rsidRPr="009047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особливостей петрологічних процесів і утворення руд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267C51">
              <w:rPr>
                <w:rFonts w:ascii="Times New Roman" w:eastAsia="Times New Roman" w:hAnsi="Times New Roman"/>
                <w:sz w:val="24"/>
                <w:szCs w:val="24"/>
              </w:rPr>
              <w:t>практичних потреб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267C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proofErr w:type="spellStart"/>
            <w:r w:rsidR="00267C51" w:rsidRPr="0090478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Мінералого-геохімічні</w:t>
            </w:r>
            <w:proofErr w:type="spellEnd"/>
            <w:r w:rsidR="00267C51" w:rsidRPr="0090478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індикатори петрологічних процесів і утворення руд та прикладні аспекти їх використання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завершальною вибірковою дисципліною з спеціальності </w:t>
            </w:r>
            <w:r w:rsidR="00267C51" w:rsidRPr="00D50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="00267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267C51" w:rsidRPr="00267C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третього </w:t>
            </w:r>
            <w:proofErr w:type="spellStart"/>
            <w:r w:rsidR="00267C51" w:rsidRPr="00267C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освітньо-наукового</w:t>
            </w:r>
            <w:proofErr w:type="spellEnd"/>
            <w:r w:rsidR="00267C51" w:rsidRPr="00267C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рівня вищої освіти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267C5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267C5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931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вибіркової дисципліни «</w:t>
            </w:r>
            <w:proofErr w:type="spellStart"/>
            <w:r w:rsidR="0000589F"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Мінералого-геохімічні</w:t>
            </w:r>
            <w:proofErr w:type="spellEnd"/>
            <w:r w:rsidR="0000589F"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індикатори петрологічних процесів і утворення руд та прикладні аспекти їх використання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</w:t>
            </w:r>
            <w:r w:rsidR="009314CC">
              <w:rPr>
                <w:rFonts w:ascii="Times New Roman" w:eastAsia="Times New Roman" w:hAnsi="Times New Roman"/>
                <w:sz w:val="24"/>
                <w:szCs w:val="24"/>
              </w:rPr>
              <w:t xml:space="preserve">аспірантів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із завданнями</w:t>
            </w:r>
            <w:r w:rsidR="000058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589F" w:rsidRPr="009047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формування необхідних теоретичних знань щодо причин відображення особливостей петрологічних процесів і утворення руд в хімічному складі мінералів, їх морфології, фізичних властивостях, ізотопно-геохімічних показниках, а також практичних навиків, які дозволять виявляти серед них індикаторні для прикладних цілей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 оволодіння сучасними підходами та інструментами для їх вирішення.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24" w:rsidRDefault="00B21353" w:rsidP="007B1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F60E24" w:rsidRPr="00373E38" w:rsidRDefault="00F60E24" w:rsidP="00F60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Петрография и петрология магматических, метаморфических и метасоматических горных пород. М., Изд-во Логос, 2001.</w:t>
            </w:r>
          </w:p>
          <w:p w:rsidR="00F60E24" w:rsidRDefault="00F60E24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Сазанов В.Н. </w:t>
            </w: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Лиственитизация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оруденение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М., Наука, 1975. </w:t>
            </w:r>
            <w:hyperlink r:id="rId5" w:history="1">
              <w:proofErr w:type="spellStart"/>
              <w:r w:rsidRPr="00F16DE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Япаскурт</w:t>
              </w:r>
              <w:proofErr w:type="spellEnd"/>
              <w:r w:rsidRPr="00F16DE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О.В.</w:t>
              </w:r>
              <w:proofErr w:type="spellStart"/>
            </w:hyperlink>
            <w:hyperlink r:id="rId6" w:history="1">
              <w:r w:rsidRPr="00F16DE9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uk-UA"/>
                </w:rPr>
                <w:t>Стадиальный</w:t>
              </w:r>
              <w:proofErr w:type="spellEnd"/>
              <w:r w:rsidRPr="00F16DE9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Pr="00F16DE9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uk-UA"/>
                </w:rPr>
                <w:t>анализ</w:t>
              </w:r>
              <w:proofErr w:type="spellEnd"/>
              <w:r w:rsidRPr="00F16DE9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Pr="00F16DE9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uk-UA"/>
                </w:rPr>
                <w:t>литогенеза</w:t>
              </w:r>
              <w:proofErr w:type="spellEnd"/>
            </w:hyperlink>
            <w:r w:rsidRPr="00F1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 - </w:t>
            </w:r>
            <w:r w:rsidRPr="00F1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1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B91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МГУ</w:t>
            </w:r>
            <w:proofErr w:type="spellEnd"/>
            <w:r w:rsidRPr="00F1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1994. - 142с. 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Barton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D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Ilchik</w:t>
            </w:r>
            <w:proofErr w:type="spellEnd"/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R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P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Marikos</w:t>
            </w:r>
            <w:proofErr w:type="spellEnd"/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A</w:t>
            </w:r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916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Metasomatism</w:t>
            </w:r>
            <w:proofErr w:type="spellEnd"/>
            <w:r w:rsidRPr="00F16D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 // </w:t>
            </w:r>
            <w:r w:rsidRPr="00B916D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val="en-US" w:eastAsia="uk-UA"/>
              </w:rPr>
              <w:t>Contact</w:t>
            </w:r>
            <w:r w:rsidRPr="00F16DE9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16D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val="en-US" w:eastAsia="uk-UA"/>
              </w:rPr>
              <w:t>metamorphism</w:t>
            </w:r>
            <w:r w:rsidRPr="00F16DE9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B916D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4"/>
                <w:szCs w:val="24"/>
                <w:lang w:val="en-US" w:eastAsia="uk-UA"/>
              </w:rPr>
              <w:t xml:space="preserve">Reviews in Mineralogy. Vol. 26.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YardleyW.D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introduction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metamorphic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petrology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–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Longman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Technical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England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1991.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-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248 p.</w:t>
            </w:r>
          </w:p>
          <w:p w:rsidR="00F16DE9" w:rsidRDefault="00F16DE9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60E24" w:rsidRPr="00373E38" w:rsidRDefault="00F60E24" w:rsidP="00F60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Генезис эндогенных рудных месторождений. М., Недра, 1968.</w:t>
            </w:r>
          </w:p>
          <w:p w:rsidR="00F60E24" w:rsidRPr="00373E38" w:rsidRDefault="00F60E24" w:rsidP="00F60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Кушев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В.Т. </w:t>
            </w: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Щелочныеметасоматиты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докембрия. Л., Недра, 1972.</w:t>
            </w:r>
          </w:p>
          <w:p w:rsidR="00F16DE9" w:rsidRDefault="00F60E24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Омельянченко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Б.И. Околорудные гидротермальные изменения пород. М., 1978.</w:t>
            </w:r>
          </w:p>
          <w:p w:rsidR="00F60E24" w:rsidRPr="00B916D2" w:rsidRDefault="00F60E24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ПерчукЛ.Л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Магматизм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метаморфизм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геодинамика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-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М.: Наука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1993.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- </w:t>
            </w:r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190 </w:t>
            </w:r>
            <w:proofErr w:type="gramStart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</w:t>
            </w:r>
            <w:proofErr w:type="gramEnd"/>
            <w:r w:rsidRPr="00B916D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F60E24" w:rsidRPr="00B916D2" w:rsidRDefault="00F60E24" w:rsidP="00F60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Лебедев Б.А. Геохимия эпигенетических процессов в осадочных бассейнах. – Л.: Недра, 1992. – 239 </w:t>
            </w:r>
            <w:proofErr w:type="gramStart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F60E24" w:rsidRDefault="00F60E24" w:rsidP="00F60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Лисицын А.П. Лавинная седиментация и перерывы в осадконакоплении. – М.: Наука, 1988.</w:t>
            </w:r>
          </w:p>
          <w:p w:rsidR="00F16DE9" w:rsidRDefault="00F16DE9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Рундквист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Д.В., Денисенко В.К., Павлова И.Г. </w:t>
            </w:r>
            <w:proofErr w:type="spellStart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Грейзеновые</w:t>
            </w:r>
            <w:proofErr w:type="spellEnd"/>
            <w:r w:rsidRPr="00373E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месторождения. М., Недра, 1971. </w:t>
            </w:r>
          </w:p>
          <w:p w:rsidR="00F60E24" w:rsidRPr="00B916D2" w:rsidRDefault="00F60E24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916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Сиротин В.І. Стадиальный анализ древней глиноземистой </w:t>
            </w:r>
            <w:proofErr w:type="gramStart"/>
            <w:r w:rsidRPr="00B916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коры выветривания // Проблемы теории образования коры выветривания</w:t>
            </w:r>
            <w:proofErr w:type="gramEnd"/>
            <w:r w:rsidRPr="00B916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и экзогенные месторождения. - М.: Наука, 1980.- С.239–253</w:t>
            </w:r>
          </w:p>
          <w:p w:rsidR="00F16DE9" w:rsidRDefault="00F60E24" w:rsidP="00F16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Страхов Н.М. Типы литогенеза и их эволюция в истории Земли. – М.: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Госгеотехиздат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1963. – 535 с.</w:t>
            </w:r>
          </w:p>
          <w:p w:rsidR="00F60E24" w:rsidRDefault="00F60E24" w:rsidP="00F16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Япаскурт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О.В.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Предметаморфические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изменения осадочных пород в </w:t>
            </w:r>
            <w:proofErr w:type="spellStart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стратисфере</w:t>
            </w:r>
            <w:proofErr w:type="spellEnd"/>
            <w:r w:rsidRPr="00B916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Процессы и факторы. – М.: ГЕОС, 1999.</w:t>
            </w:r>
          </w:p>
          <w:p w:rsidR="00B21353" w:rsidRPr="006A6169" w:rsidRDefault="00B21353" w:rsidP="00F16D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00589F" w:rsidP="0000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  <w:r w:rsidR="00B21353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1353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1353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1353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1353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</w:t>
            </w:r>
            <w:r w:rsidR="00F16DE9">
              <w:rPr>
                <w:rFonts w:ascii="Times New Roman" w:eastAsia="Times New Roman" w:hAnsi="Times New Roman"/>
                <w:sz w:val="24"/>
                <w:szCs w:val="24"/>
              </w:rPr>
              <w:t>аспіран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т буде : </w:t>
            </w:r>
          </w:p>
          <w:p w:rsidR="00B21353" w:rsidRPr="006A6169" w:rsidRDefault="00B21353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Знати </w:t>
            </w:r>
            <w:r w:rsidR="00F60E24">
              <w:rPr>
                <w:rFonts w:ascii="Times New Roman" w:eastAsia="Times New Roman" w:hAnsi="Times New Roman"/>
                <w:sz w:val="24"/>
                <w:szCs w:val="24"/>
              </w:rPr>
              <w:t xml:space="preserve">хід </w:t>
            </w:r>
            <w:r w:rsidR="00F60E24" w:rsidRPr="006B64D0">
              <w:rPr>
                <w:rFonts w:ascii="Times New Roman" w:hAnsi="Times New Roman"/>
                <w:bCs/>
                <w:sz w:val="24"/>
                <w:szCs w:val="24"/>
              </w:rPr>
              <w:t>проведення аналізу виділення різночасових мінеральних асоціацій на фоні загального процесу формування породи</w:t>
            </w:r>
          </w:p>
          <w:p w:rsidR="00B21353" w:rsidRPr="006A6169" w:rsidRDefault="00B21353" w:rsidP="00F16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  <w:r w:rsidR="00F60E24" w:rsidRPr="006B64D0"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r w:rsidR="00F60E24">
              <w:rPr>
                <w:rFonts w:ascii="Times New Roman" w:hAnsi="Times New Roman"/>
                <w:bCs/>
                <w:sz w:val="24"/>
                <w:szCs w:val="24"/>
              </w:rPr>
              <w:t xml:space="preserve">вати </w:t>
            </w:r>
            <w:r w:rsidR="00F60E24" w:rsidRPr="006B64D0">
              <w:rPr>
                <w:rFonts w:ascii="Times New Roman" w:hAnsi="Times New Roman"/>
                <w:bCs/>
                <w:sz w:val="24"/>
                <w:szCs w:val="24"/>
              </w:rPr>
              <w:t xml:space="preserve">процес формування породи </w:t>
            </w:r>
            <w:r w:rsidR="00F60E24">
              <w:rPr>
                <w:rFonts w:ascii="Times New Roman" w:hAnsi="Times New Roman"/>
                <w:bCs/>
                <w:sz w:val="24"/>
                <w:szCs w:val="24"/>
              </w:rPr>
              <w:t xml:space="preserve">і руди </w:t>
            </w:r>
            <w:r w:rsidR="00F60E24" w:rsidRPr="006B64D0">
              <w:rPr>
                <w:rFonts w:ascii="Times New Roman" w:hAnsi="Times New Roman"/>
                <w:bCs/>
                <w:sz w:val="24"/>
                <w:szCs w:val="24"/>
              </w:rPr>
              <w:t xml:space="preserve">за структурно-текстурними </w:t>
            </w:r>
            <w:r w:rsidR="00F60E24">
              <w:rPr>
                <w:rFonts w:ascii="Times New Roman" w:hAnsi="Times New Roman"/>
                <w:bCs/>
                <w:sz w:val="24"/>
                <w:szCs w:val="24"/>
              </w:rPr>
              <w:t xml:space="preserve">їх </w:t>
            </w:r>
            <w:r w:rsidR="00F60E24" w:rsidRPr="006B64D0">
              <w:rPr>
                <w:rFonts w:ascii="Times New Roman" w:hAnsi="Times New Roman"/>
                <w:bCs/>
                <w:sz w:val="24"/>
                <w:szCs w:val="24"/>
              </w:rPr>
              <w:t>ознаками, компонентного складу, значення</w:t>
            </w:r>
            <w:r w:rsidR="00F60E24">
              <w:rPr>
                <w:rFonts w:ascii="Times New Roman" w:hAnsi="Times New Roman"/>
                <w:bCs/>
                <w:sz w:val="24"/>
                <w:szCs w:val="24"/>
              </w:rPr>
              <w:t>ми фізичних властивостей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00589F" w:rsidP="0000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</w:t>
            </w:r>
            <w:r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інерал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огічні, </w:t>
            </w:r>
            <w:r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геохімічні індикатори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петрологі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я, </w:t>
            </w:r>
            <w:r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утворення руд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00589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прикладні аспекти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6F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Вступ. Загальні теоретичні уявлення про властивості морфології, складу та фізичних характеристик мінералів, як відображення умов їх утворення. </w:t>
            </w:r>
          </w:p>
          <w:p w:rsidR="001D426F" w:rsidRDefault="001D426F" w:rsidP="001D4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геологічної обстановки і фізико-хімічних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параметрів середовища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кристалізації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формуванні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окремих мін</w:t>
            </w: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еральних індивідів.</w:t>
            </w:r>
          </w:p>
          <w:p w:rsidR="001D426F" w:rsidRDefault="001D426F" w:rsidP="001D4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Зв'язок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морфології, складу і фізичних властивостей мінералів від параметрів температури, тиску та флюїдного режиму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формування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різних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типів гірських порід. </w:t>
            </w:r>
          </w:p>
          <w:p w:rsidR="001D426F" w:rsidRDefault="001D426F" w:rsidP="001D4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Сучасні методи виявлення характерних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мінералого-геохімічних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індикаторів в різних </w:t>
            </w:r>
            <w:proofErr w:type="spellStart"/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геоструктурних</w:t>
            </w:r>
            <w:proofErr w:type="spellEnd"/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земної кори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426F" w:rsidRPr="0077562D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Мінералого-геохімічні</w:t>
            </w:r>
            <w:proofErr w:type="spellEnd"/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індикатори формування магматичних осередків різних глибин становлення і кристалізації. </w:t>
            </w:r>
          </w:p>
          <w:p w:rsidR="001D426F" w:rsidRPr="0077562D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Сучасні геодинамічні реконструкції за комплексом геохімічних і ізотопних міток. </w:t>
            </w:r>
          </w:p>
          <w:p w:rsidR="001D426F" w:rsidRPr="00904783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047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Порівняльна характеристика параметрів кристалізації мінерал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ів </w:t>
            </w:r>
            <w:r w:rsidRPr="009047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природних системах та отриманих при синтезі їх аналогів. </w:t>
            </w:r>
          </w:p>
          <w:p w:rsidR="001D426F" w:rsidRPr="0077562D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Зв'язок хімічного складу і фізичних властивостей рудних і жильних мінералів в рудних системах різного генезису. </w:t>
            </w:r>
          </w:p>
          <w:p w:rsidR="001D426F" w:rsidRDefault="001D426F" w:rsidP="001D42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Експериментальні дані та фізико-хімічне моделювання для визначення і оцінки у</w:t>
            </w:r>
            <w:r w:rsidRPr="00D50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утворення стабільних фаз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мінералів </w:t>
            </w:r>
          </w:p>
          <w:p w:rsidR="001D426F" w:rsidRPr="005E5DE9" w:rsidRDefault="001D426F" w:rsidP="001D4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Особливості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формування </w:t>
            </w:r>
            <w:r w:rsidRPr="005E5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ендогенних утворень за результатами вивчення включень </w:t>
            </w:r>
          </w:p>
          <w:p w:rsidR="001D426F" w:rsidRDefault="001D426F" w:rsidP="001D4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Стадіально-катагенетичні</w:t>
            </w:r>
            <w:proofErr w:type="spellEnd"/>
            <w:r w:rsidRPr="0099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зміни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різних типах осадових </w:t>
            </w:r>
            <w:proofErr w:type="spellStart"/>
            <w:r w:rsidRPr="00993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порід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ізотопними характеристиками </w:t>
            </w:r>
          </w:p>
          <w:p w:rsidR="001D426F" w:rsidRDefault="001D426F" w:rsidP="001D4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Процеси метасоматичних перетворень за особливостями «наскрізних» мінералів</w:t>
            </w:r>
          </w:p>
          <w:p w:rsidR="001D426F" w:rsidRDefault="001D426F" w:rsidP="001D42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Історія формування породи за результатами вивчення індикаторних мінеральних асоціацій і парагенезисів </w:t>
            </w:r>
          </w:p>
          <w:p w:rsidR="001D426F" w:rsidRPr="0077562D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Генетичне моделювання на основі розподілу нормованих значень розподілу рідкоземельних елементів, ізотопних модельних систем та геохронологічних даних в пород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ах</w:t>
            </w: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та мінерал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ах</w:t>
            </w: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</w:p>
          <w:p w:rsidR="001D426F" w:rsidRPr="00904783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Просторовий і об’ємний розподіл мінеральних індикаторів </w:t>
            </w:r>
            <w:r w:rsidRPr="009047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 пошуках і розвідці родовищ корисних копалин. </w:t>
            </w:r>
          </w:p>
          <w:p w:rsidR="001D426F" w:rsidRPr="0077562D" w:rsidRDefault="001D426F" w:rsidP="001D426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Систем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використання мінерал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ьних і ізотопно-геохімічних індикаторів </w:t>
            </w:r>
            <w:r w:rsidRPr="007756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геологорозвідувальних цілях.</w:t>
            </w:r>
          </w:p>
          <w:p w:rsidR="00B21353" w:rsidRPr="006A6169" w:rsidRDefault="00B21353" w:rsidP="007B14B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комбінований 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005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00589F">
              <w:rPr>
                <w:rFonts w:ascii="Times New Roman" w:eastAsia="Times New Roman" w:hAnsi="Times New Roman"/>
                <w:sz w:val="24"/>
                <w:szCs w:val="24"/>
              </w:rPr>
              <w:t>мінералогії, геохімії, ізотопної геохімії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достатніх для сприйняття категоріального апарату, розуміння джерел</w:t>
            </w:r>
            <w:r w:rsidR="0000589F">
              <w:rPr>
                <w:rFonts w:ascii="Times New Roman" w:eastAsia="Times New Roman" w:hAnsi="Times New Roman"/>
                <w:sz w:val="24"/>
                <w:szCs w:val="24"/>
              </w:rPr>
              <w:t xml:space="preserve"> інформації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1353" w:rsidRPr="006A6169" w:rsidRDefault="00B21353" w:rsidP="008D0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*Завдання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– побудова освітнього простору як простору прояву пізнавальних ініціатив та інтересів 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</w:rPr>
              <w:t>слухачів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і створення індивідуальної освітньої траєкторії.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встановлює зі 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</w:rPr>
              <w:t>присутніми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партнерські стосунки, забезпечуючи психологічну підтримку під час навчання, організовує їх освітню діяльність, представляє академічні інтереси на факультеті.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Тьюторський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потребувати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proofErr w:type="gram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загально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вживаних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D03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D03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="008D03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gram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="00005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аспірантів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ідженнями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15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аспіранта</w:t>
            </w:r>
            <w:proofErr w:type="spellEnd"/>
            <w:r w:rsidR="008615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поєднанні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дистанційними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методами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оволодіння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</w:t>
            </w:r>
            <w:proofErr w:type="gram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іалом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будь-якому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005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005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21353" w:rsidRPr="006A6169" w:rsidRDefault="00B21353" w:rsidP="007B1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практичній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роботі та бали </w:t>
            </w:r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ідсумкового тестування. При цьому обов’язково враховуються присутність на заняттях та активність 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аспіранта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 час практичного заняття.</w:t>
            </w:r>
            <w:r w:rsidR="008D03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21353" w:rsidRPr="006A6169" w:rsidRDefault="00B21353" w:rsidP="007B1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="000058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8D033C" w:rsidP="007B14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B21353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ерелік питань та завдань для проведення підсумкової оцінки знань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формуються в залежності від теми дисертаційного дослідження</w:t>
            </w:r>
            <w:r w:rsidR="00B21353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Також можна надати посилання на </w:t>
            </w:r>
            <w:proofErr w:type="spellStart"/>
            <w:r w:rsidR="00B21353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веб-сторінку</w:t>
            </w:r>
            <w:proofErr w:type="spellEnd"/>
            <w:r w:rsidR="00B21353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 розміщені вказані матеріали.</w:t>
            </w: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353" w:rsidRPr="006A6169" w:rsidTr="007B14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53" w:rsidRPr="006A6169" w:rsidRDefault="00B21353" w:rsidP="007B1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21353" w:rsidRPr="006A6169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1353" w:rsidRPr="006A6169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1353" w:rsidRPr="00F63ECC" w:rsidRDefault="00B21353" w:rsidP="00B2135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1353" w:rsidRDefault="00B21353" w:rsidP="00B213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353" w:rsidRPr="0001047F" w:rsidRDefault="00B21353" w:rsidP="00B213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353" w:rsidRPr="00B21353" w:rsidRDefault="00B21353">
      <w:pPr>
        <w:rPr>
          <w:lang w:val="en-US"/>
        </w:rPr>
      </w:pPr>
    </w:p>
    <w:sectPr w:rsidR="00B21353" w:rsidRPr="00B21353" w:rsidSect="00D97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53"/>
    <w:rsid w:val="0000589F"/>
    <w:rsid w:val="00190439"/>
    <w:rsid w:val="001D426F"/>
    <w:rsid w:val="00267C51"/>
    <w:rsid w:val="002B05FF"/>
    <w:rsid w:val="00302C14"/>
    <w:rsid w:val="00492C28"/>
    <w:rsid w:val="007C10A5"/>
    <w:rsid w:val="008615A6"/>
    <w:rsid w:val="008D033C"/>
    <w:rsid w:val="009314CC"/>
    <w:rsid w:val="00B21353"/>
    <w:rsid w:val="00CE354B"/>
    <w:rsid w:val="00D42121"/>
    <w:rsid w:val="00D977B3"/>
    <w:rsid w:val="00F16DE9"/>
    <w:rsid w:val="00F60E24"/>
    <w:rsid w:val="00F6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kniga.org/books/7311" TargetMode="External"/><Relationship Id="rId5" Type="http://schemas.openxmlformats.org/officeDocument/2006/relationships/hyperlink" Target="javascript:%20%20%20%20%20%20%20%20%20%20%20%20document.getElementById('edit-field-author').value%20='&#1071;&#1087;&#1072;&#1089;&#1082;&#1091;&#1088;&#1090;%20&#1054;.&#1042;.';%20%20%20%20%20%20%20%20%20%20%20document.getElementById('edit-submit-booklist').click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6956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Василь</cp:lastModifiedBy>
  <cp:revision>12</cp:revision>
  <dcterms:created xsi:type="dcterms:W3CDTF">2020-03-01T15:18:00Z</dcterms:created>
  <dcterms:modified xsi:type="dcterms:W3CDTF">2020-03-01T17:53:00Z</dcterms:modified>
</cp:coreProperties>
</file>